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0"/>
          <w:szCs w:val="20"/>
          <w:bdr w:val="none" w:color="auto" w:sz="0" w:space="0"/>
        </w:rPr>
        <w:t>浙江省教育厅 浙江省财政厅关于在高职院校实施优质暨重点校建设计划的通知</w:t>
      </w:r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浙教高教〔2016〕144号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各高职院校：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为深入贯彻全省高等教育工作会议和职业教育工作会议精神，全面落实《浙江省人民政府关于推进我省高等教育新一轮提升发展的若干意见》（浙政发〔2015〕12号）和《浙江省人民政府关于加快发展现代职业教育的实施意见》（浙政发〔2015〕16号）确定的“重点高校建设计划”、高职教育“三名工程”，结合教育部《高等职业教育创新发展行动计划（2015-2018年）》提出的“优质高职院校”建设要求，决定在我省高职院校实施优质暨重点校建设计划。现将有关事项通知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一、 指导思想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全面贯彻国家和省对高职教育的工作部署，根据浙江经济社会发展对技术技能人才培养和技术创新服务 新需求，结合我省高职教育建设发展实际，在以往国家“示范校”“骨干校”和省“示范校”建设成果的基础上，新遴选支持一批高职院校继续开展新一轮改革创新和项目建设，提升全省高职教育办学水平和综合竞争力，增强高职院校服务全省经济社会发展能力，加快推进浙江现代职业教育体系建设，协同创建高等教育强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二、 建设目标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按照“强化特色、培育优势”的要求，支持一批办学基础好、服务能力强、与地方发展需要契合度高、行业优势明显的学校进行优质高职院校建设，重点是深入开展育人模式创新，加强优势特色专业和高素质人才队伍建设，增强人才培养质量和技术创新服务能力。在此基础上，选择若干所办学基础扎实、优势特色鲜明、改革意愿强烈且有明显成效的院校进行重点建设，打造具有较大国内外影响力的高职教育“名校”，引领和促进全省高职院校提升办学实力和综合竞争力，力争有若干所高职院校跻身全国前30位，有一批学校跻身全国200所“优质高职院校”行列，确保浙江高职教育在全国的领先地位，为全省经济社会发展提供更强大的综合服务能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三、建设原则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（一）学校为主、多方支持。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从全省经济社会发展需要出发，加强对全省高职教育发展的顶层设计，协同相关行业部门和地方政府，统筹资源要素配置，强化政策导向，共同推进院校建设。各建设院校要履行建设主体责任，立足于为全省经济社会发展提供人才保证、智力支持和科技支撑，结合自身发展实际，认真制订项目建设规划，确定重点改革领域、重点建设任务，大力推进院校建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（二）竞争择优、动态管理。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对实施优质校建设的高职院校，要综合比较学校现有办学条件、优势特色、发展潜力等因素，实行公平竞争、择优遴选。要以提升办学质量和水平为根本，强化目标导向和过程管理。列入重点建设的高职院校要实施中期建设评估考核，优胜劣汰，对考核实绩不佳的院校予以淘汰，空缺出的名额将以适当方式增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（三）分类建设、重点突破。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加强分类指导，引导不同办学类型、不同隶属关系的高职院校科学定位、错位发展、办出特色、办出水平。列入优质校建设的院校要对照建设目标，找准制约自身发展的关键问题，集中资源和力量，以重点领域的有效突破促进内涵建设，努力培育扩大建设成果，提升办学水平，更好地为经济转型升级和社会发展服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四、建设内容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（一）推进管理体制创新。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完善学校章程建设，健全现代职业院校治理结构，切实提升治理能力。深化办学体制改革，健全校企、产学深度合作机制，探索二级学院混合所有制改革。完善“文化素质+职业技能”的考试招生办法，建立学分积累与转换制度。积极推行现代学徒制试点，改革人才培养模式。加强创新创业教育，促进专业教育与创新创业教育有机融合。建立教学工作诊断和改进制度，积极应用第三方评价，健全人才培养质量内部质量保障体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（二）加强优势特色专业群建设。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围绕我省主导与优势产业布局，重点选择若干个专业集群，以学校优势特色专业为骨干，集聚一批相关专业，进一步改善集群专业办学条件，深化专业教学改革，加快建设形成一批适应需求、优势特色鲜明、效益显著的专业集群，形成与区域产业分布形态相适应的专业布局，进一步优化全省高职教育专业结构。同时，推进高水平校内生产性实训基地建设，联合行业企业开发优质教学资源，建设共享型专业教学资源库和精品资源共享课，积极推动教学创新，增强课程选择性，加强实习实训教学，改进教学管理，切实提高人才培养质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（三）加强双师型教师队伍建设。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充分发挥教师发展中心作用，建立体现产业与专业特色的教师分类培养与管理制度。大力提升教师专业技能、实践教学、信息技术应用和教学研究能力，提高“双师双能”专业教师比例。完善契合高职教育类型特征的教师专业技术职务（职称）评聘办法。探索和落实教师全员培训、新招聘教师入职培养、青年教师助讲和教师定期实践等制度，完善教师行业企业“访问工程师”培养制度。积极组织教师参加“国培”“省培”项目，多渠道多形式开展师资赴国(境)外培训；推进与大中型企业共建“双师型”教师培养培训基地，培养一批学术水平高、业务能力强、师德高尚、行业有影响力的专业带头人、骨干教师和教学名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（四）促进技术技能积累与服务。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推动与行业企业共建技术工艺和产品研发中心、公共实训平台、技能大师工作室等技术技能积累与创新载体；面向重点发展产业，提高专业的技术协同创新能力；建立和完善教师技术服务的制度与政策，引导教师面向行业企业开展技术研究、产品开发、技术推广;促进科技成果转化，推动行业企业的技术革新与发展，为产业升级服务；积极开展企业职工培训和社区教育，建设一批行业性和区域性的培训服务中心；增强学生的技术创新意识和能力，组织学生服务行业企业技术创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（五）提升国际交流与合作水平。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加强与信誉良好的国际组织、跨国企业以及职业教育发达国家开展交流与合作，探索中外合作办学的新途径、新模式；学习和引进国际先进成熟适用的职业标准、专业课程、教材体系和教育资源，积极参与制定职业教育国际标准，开发与国际先进标准对接的专业标准和课程体系；选择类型相同、专业相近的国（境）外高水平院校联合开发课程，共建专业、实验室或实训基地，建立教师交流、学生交换、学分互认等合作关系；积极参与“一带一路”建设，配合“走出去”企业面向当地员工开展技术技能培训和学历职业教育，吸收沿线国家学生来浙留学，为沿线国家培养急需的技术技能人才，鼓励跨出国门办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五、组织实施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（一）时间和方式。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2016年启动，建设周期确定为2016—2020年。2016年11月组织申报，12月组织遴选评审，公布后开展项目实施。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（二）范围和数量。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除拟升本的普通高专和未“摘筹”的高职院校外，原则上所有的高职院校均可通过竞争参与建设计划。参照上一轮省示范性高职校建设规模，一次性遴选认定“优质高职院校”20所，其中高职教育重点建设院校5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（三）申报和遴选。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以学校为单位自主申报。申报书必须如实填写，一旦发现弄虚作假，取消学校申报资格。学校申报后，省教育厅将组织力量对材料进行资格和形式审核，并会同省财政厅组织专家评议后确定，重点建设高职校报经省政府同意后公布名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（四）考核和验收。</w:t>
      </w: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重点建设高职校实行优胜劣汰的建设机制。建设中期将组织开展检查评估，检查评估不合格的将中止建设计划并取消建设资格。建设期满将组织终期验收。入选院校要围绕建设目标任务，按计划扎实推进各方面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六、建设经费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各校要加大经费投入，根据建设内容足额安排经费预算，确保建设目标如期实现。各有关学校主管行业和部门、地方政府也应加大经费支持力度，助推学校项目建设。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七、材料报送要求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有关高职院校请于11月30日前将《浙江省高职院校优质暨重点校建设申报表》《浙江省高职院校优质暨重点校建设方案》（各一式8份）及学校近三年《教育质量年度报告》、学校《十三五发展规划》（各1份）报送至省教育厅高教处，同时发送同版本的电子材料。联系人：傅霞，联系电话：0571—88008976，邮箱：zjjygjc@163.com 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附件：</w: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16"/>
          <w:szCs w:val="16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16"/>
          <w:szCs w:val="16"/>
          <w:u w:val="none"/>
          <w:bdr w:val="none" w:color="auto" w:sz="0" w:space="0"/>
        </w:rPr>
        <w:instrText xml:space="preserve"> HYPERLINK "http://www.moe.gov.cn/s78/A07/zcs_ztzl/ztzl_zcs1518/zcs1518_gsfb/201611/W020161118343243187594.docx" \t "http://www.moe.gov.cn/s78/A07/zcs_ztzl/ztzl_zcs1518/zcs1518_gsfb/201611/_blank"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16"/>
          <w:szCs w:val="16"/>
          <w:u w:val="none"/>
          <w:bdr w:val="none" w:color="auto" w:sz="0" w:space="0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16"/>
          <w:szCs w:val="16"/>
          <w:u w:val="none"/>
          <w:bdr w:val="none" w:color="auto" w:sz="0" w:space="0"/>
        </w:rPr>
        <w:t>浙江省高职院校优质暨重点校建设申报书样式</w: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16"/>
          <w:szCs w:val="16"/>
          <w:u w:val="none"/>
          <w:bdr w:val="none" w:color="auto" w:sz="0" w:space="0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　　浙江省教育厅 浙江省财政厅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  <w:t>2016年9月25日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ascii="黑体" w:hAnsi="黑体" w:eastAsia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/>
          <w:color w:val="000000"/>
          <w:kern w:val="2"/>
          <w:sz w:val="32"/>
          <w:szCs w:val="32"/>
        </w:rPr>
        <w:t>附件</w:t>
      </w: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ascii="方正小标宋简体" w:hAnsi="Calibri" w:eastAsia="方正小标宋简体"/>
          <w:color w:val="000000"/>
          <w:kern w:val="2"/>
          <w:sz w:val="44"/>
          <w:szCs w:val="44"/>
        </w:rPr>
      </w:pP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方正小标宋简体" w:hAnsi="Calibri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Calibri" w:eastAsia="方正小标宋简体"/>
          <w:color w:val="000000"/>
          <w:kern w:val="2"/>
          <w:sz w:val="44"/>
          <w:szCs w:val="44"/>
        </w:rPr>
        <w:t>浙江省高职院校优质暨重点校</w:t>
      </w:r>
      <w:r>
        <w:rPr>
          <w:rFonts w:ascii="方正小标宋简体" w:hAnsi="Calibri" w:eastAsia="方正小标宋简体"/>
          <w:color w:val="000000"/>
          <w:kern w:val="2"/>
          <w:sz w:val="44"/>
          <w:szCs w:val="44"/>
        </w:rPr>
        <w:t>建设</w:t>
      </w:r>
      <w:r>
        <w:rPr>
          <w:rFonts w:hint="eastAsia" w:ascii="方正小标宋简体" w:hAnsi="Calibri" w:eastAsia="方正小标宋简体"/>
          <w:color w:val="000000"/>
          <w:kern w:val="2"/>
          <w:sz w:val="44"/>
          <w:szCs w:val="44"/>
        </w:rPr>
        <w:t>申报书</w:t>
      </w: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hint="eastAsia" w:ascii="仿宋_GB2312" w:hAnsi="Calibri" w:eastAsia="仿宋_GB2312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2"/>
          <w:sz w:val="30"/>
          <w:szCs w:val="30"/>
        </w:rPr>
        <w:t xml:space="preserve">                   </w:t>
      </w: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ascii="仿宋_GB2312" w:hAnsi="Calibri" w:eastAsia="仿宋_GB2312"/>
          <w:color w:val="000000"/>
          <w:kern w:val="2"/>
          <w:sz w:val="30"/>
          <w:szCs w:val="30"/>
        </w:rPr>
      </w:pPr>
    </w:p>
    <w:p>
      <w:pPr>
        <w:autoSpaceDE/>
        <w:autoSpaceDN/>
        <w:adjustRightInd/>
        <w:spacing w:line="1200" w:lineRule="exact"/>
        <w:ind w:firstLine="1840" w:firstLineChars="575"/>
        <w:jc w:val="both"/>
        <w:rPr>
          <w:rFonts w:ascii="仿宋_GB2312" w:hAnsi="Calibri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32"/>
        </w:rPr>
        <w:t>学校名称（盖章）：________________</w:t>
      </w:r>
    </w:p>
    <w:p>
      <w:pPr>
        <w:autoSpaceDE/>
        <w:autoSpaceDN/>
        <w:adjustRightInd/>
        <w:spacing w:line="1200" w:lineRule="exact"/>
        <w:ind w:firstLine="1840" w:firstLineChars="575"/>
        <w:jc w:val="both"/>
        <w:rPr>
          <w:rFonts w:ascii="仿宋_GB2312" w:hAnsi="Calibri" w:eastAsia="仿宋_GB2312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32"/>
        </w:rPr>
        <w:t>学校法人（签字）：_________________</w:t>
      </w: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ascii="仿宋_GB2312" w:hAnsi="Calibri" w:eastAsia="仿宋_GB2312"/>
          <w:color w:val="000000"/>
          <w:kern w:val="2"/>
          <w:sz w:val="30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hint="eastAsia" w:ascii="仿宋_GB2312" w:hAnsi="Calibri" w:eastAsia="仿宋_GB2312"/>
          <w:color w:val="000000"/>
          <w:kern w:val="2"/>
          <w:sz w:val="30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hint="eastAsia" w:ascii="仿宋_GB2312" w:hAnsi="Calibri" w:eastAsia="仿宋_GB2312"/>
          <w:color w:val="000000"/>
          <w:kern w:val="2"/>
          <w:sz w:val="30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hint="eastAsia" w:ascii="仿宋_GB2312" w:hAnsi="Calibri" w:eastAsia="仿宋_GB2312"/>
          <w:color w:val="000000"/>
          <w:kern w:val="2"/>
          <w:sz w:val="30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仿宋_GB2312" w:hAnsi="Calibri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32"/>
        </w:rPr>
        <w:t>浙江省教育厅    浙江省财政厅制</w:t>
      </w:r>
    </w:p>
    <w:p>
      <w:pPr>
        <w:autoSpaceDE/>
        <w:autoSpaceDN/>
        <w:adjustRightInd/>
        <w:spacing w:line="240" w:lineRule="auto"/>
        <w:ind w:firstLine="419" w:firstLineChars="131"/>
        <w:jc w:val="center"/>
        <w:rPr>
          <w:rFonts w:eastAsia="仿宋_GB2312"/>
          <w:color w:val="000000"/>
          <w:kern w:val="2"/>
          <w:sz w:val="32"/>
          <w:szCs w:val="32"/>
        </w:rPr>
      </w:pPr>
      <w:r>
        <w:rPr>
          <w:rFonts w:eastAsia="仿宋_GB2312"/>
          <w:color w:val="000000"/>
          <w:kern w:val="2"/>
          <w:sz w:val="32"/>
          <w:szCs w:val="32"/>
        </w:rPr>
        <w:t>2016年</w:t>
      </w:r>
      <w:r>
        <w:rPr>
          <w:rFonts w:hint="eastAsia" w:eastAsia="仿宋_GB2312"/>
          <w:color w:val="000000"/>
          <w:kern w:val="2"/>
          <w:sz w:val="32"/>
          <w:szCs w:val="32"/>
        </w:rPr>
        <w:t>9</w:t>
      </w:r>
      <w:r>
        <w:rPr>
          <w:rFonts w:eastAsia="仿宋_GB2312"/>
          <w:color w:val="000000"/>
          <w:kern w:val="2"/>
          <w:sz w:val="32"/>
          <w:szCs w:val="32"/>
        </w:rPr>
        <w:t>月</w:t>
      </w:r>
    </w:p>
    <w:p>
      <w:pPr>
        <w:autoSpaceDE/>
        <w:autoSpaceDN/>
        <w:adjustRightInd/>
        <w:spacing w:line="400" w:lineRule="exact"/>
        <w:ind w:firstLine="0" w:firstLineChars="0"/>
        <w:rPr>
          <w:rFonts w:hint="eastAsia" w:ascii="仿宋_GB2312" w:hAnsi="宋体" w:eastAsia="仿宋_GB2312"/>
          <w:b/>
          <w:bCs/>
          <w:kern w:val="2"/>
          <w:sz w:val="28"/>
          <w:szCs w:val="28"/>
        </w:rPr>
      </w:pPr>
    </w:p>
    <w:p>
      <w:pPr>
        <w:autoSpaceDE/>
        <w:autoSpaceDN/>
        <w:adjustRightInd/>
        <w:spacing w:line="400" w:lineRule="exact"/>
        <w:ind w:firstLine="0" w:firstLineChars="0"/>
        <w:rPr>
          <w:rFonts w:hint="eastAsia" w:ascii="仿宋_GB2312" w:hAnsi="宋体" w:eastAsia="仿宋_GB2312"/>
          <w:b/>
          <w:bCs/>
          <w:kern w:val="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2"/>
          <w:sz w:val="28"/>
          <w:szCs w:val="28"/>
        </w:rPr>
        <w:t>填写要求</w:t>
      </w:r>
    </w:p>
    <w:p>
      <w:pPr>
        <w:autoSpaceDE/>
        <w:autoSpaceDN/>
        <w:adjustRightInd/>
        <w:spacing w:line="400" w:lineRule="exact"/>
        <w:ind w:firstLine="3626" w:firstLineChars="1290"/>
        <w:jc w:val="both"/>
        <w:rPr>
          <w:rFonts w:ascii="仿宋_GB2312" w:hAnsi="宋体" w:eastAsia="仿宋_GB2312"/>
          <w:b/>
          <w:bCs/>
          <w:kern w:val="2"/>
          <w:sz w:val="28"/>
          <w:szCs w:val="28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ascii="华文楷体" w:hAnsi="华文楷体" w:eastAsia="华文楷体"/>
          <w:bCs/>
          <w:kern w:val="2"/>
          <w:sz w:val="28"/>
          <w:szCs w:val="28"/>
        </w:rPr>
      </w:pPr>
      <w:r>
        <w:rPr>
          <w:rFonts w:hint="eastAsia" w:ascii="华文楷体" w:hAnsi="华文楷体" w:eastAsia="华文楷体"/>
          <w:bCs/>
          <w:kern w:val="2"/>
          <w:sz w:val="28"/>
          <w:szCs w:val="28"/>
        </w:rPr>
        <w:t>1.各项内容要真实准确。文字表达明确简洁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ascii="华文楷体" w:hAnsi="华文楷体" w:eastAsia="华文楷体"/>
          <w:bCs/>
          <w:kern w:val="2"/>
          <w:sz w:val="28"/>
          <w:szCs w:val="28"/>
        </w:rPr>
      </w:pPr>
      <w:r>
        <w:rPr>
          <w:rFonts w:hint="eastAsia" w:ascii="华文楷体" w:hAnsi="华文楷体" w:eastAsia="华文楷体"/>
          <w:bCs/>
          <w:kern w:val="2"/>
          <w:sz w:val="28"/>
          <w:szCs w:val="28"/>
        </w:rPr>
        <w:t>2.表中空格不够时，可另附页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hint="eastAsia" w:ascii="华文楷体" w:hAnsi="华文楷体" w:eastAsia="华文楷体"/>
          <w:bCs/>
          <w:kern w:val="2"/>
          <w:sz w:val="28"/>
          <w:szCs w:val="28"/>
        </w:rPr>
      </w:pPr>
      <w:r>
        <w:rPr>
          <w:rFonts w:hint="eastAsia" w:ascii="华文楷体" w:hAnsi="华文楷体" w:eastAsia="华文楷体"/>
          <w:bCs/>
          <w:kern w:val="2"/>
          <w:sz w:val="28"/>
          <w:szCs w:val="28"/>
        </w:rPr>
        <w:t>3.除当前状态数据或特别注明外，数据起始时间为2011年1月</w:t>
      </w:r>
    </w:p>
    <w:p>
      <w:pPr>
        <w:autoSpaceDE/>
        <w:autoSpaceDN/>
        <w:adjustRightInd/>
        <w:ind w:firstLine="0" w:firstLineChars="0"/>
        <w:jc w:val="both"/>
        <w:rPr>
          <w:rFonts w:ascii="黑体" w:eastAsia="黑体"/>
          <w:b/>
          <w:bCs/>
          <w:kern w:val="2"/>
          <w:sz w:val="28"/>
          <w:szCs w:val="28"/>
        </w:rPr>
      </w:pPr>
      <w:r>
        <w:rPr>
          <w:rFonts w:hint="eastAsia" w:ascii="黑体" w:eastAsia="黑体"/>
          <w:b/>
          <w:bCs/>
          <w:kern w:val="2"/>
          <w:sz w:val="28"/>
          <w:szCs w:val="28"/>
        </w:rPr>
        <w:t>一、学校基本情况</w:t>
      </w:r>
    </w:p>
    <w:tbl>
      <w:tblPr>
        <w:tblStyle w:val="6"/>
        <w:tblW w:w="100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2512"/>
        <w:gridCol w:w="1476"/>
        <w:gridCol w:w="945"/>
        <w:gridCol w:w="422"/>
        <w:gridCol w:w="284"/>
        <w:gridCol w:w="908"/>
        <w:gridCol w:w="855"/>
        <w:gridCol w:w="708"/>
        <w:gridCol w:w="15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b/>
                <w:kern w:val="2"/>
                <w:szCs w:val="21"/>
              </w:rPr>
            </w:pPr>
            <w:r>
              <w:rPr>
                <w:rFonts w:hint="eastAsia" w:ascii="宋体" w:hAnsi="宋体"/>
                <w:b/>
                <w:kern w:val="2"/>
                <w:szCs w:val="21"/>
              </w:rPr>
              <w:t>基本信息</w:t>
            </w:r>
          </w:p>
        </w:tc>
        <w:tc>
          <w:tcPr>
            <w:tcW w:w="251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学校名称</w:t>
            </w:r>
          </w:p>
        </w:tc>
        <w:tc>
          <w:tcPr>
            <w:tcW w:w="14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学校类别</w:t>
            </w:r>
          </w:p>
        </w:tc>
        <w:tc>
          <w:tcPr>
            <w:tcW w:w="398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举办方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建校时间</w:t>
            </w:r>
          </w:p>
        </w:tc>
        <w:tc>
          <w:tcPr>
            <w:tcW w:w="3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学校性质</w:t>
            </w:r>
          </w:p>
        </w:tc>
        <w:tc>
          <w:tcPr>
            <w:tcW w:w="3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□公办   □民办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上一轮示范校建设情况</w:t>
            </w:r>
          </w:p>
        </w:tc>
        <w:tc>
          <w:tcPr>
            <w:tcW w:w="7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□国家示范校  □国家骨干校  □省示范校  □其他（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学校本级获省部级奖励情况</w:t>
            </w:r>
          </w:p>
        </w:tc>
        <w:tc>
          <w:tcPr>
            <w:tcW w:w="7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840" w:firstLine="0" w:firstLineChars="0"/>
              <w:jc w:val="both"/>
              <w:rPr>
                <w:rFonts w:ascii="宋体" w:hAnsi="宋体"/>
                <w:b/>
                <w:kern w:val="2"/>
                <w:szCs w:val="21"/>
              </w:rPr>
            </w:pPr>
            <w:r>
              <w:rPr>
                <w:rFonts w:hint="eastAsia" w:ascii="宋体" w:hAnsi="宋体"/>
                <w:b/>
                <w:kern w:val="2"/>
                <w:szCs w:val="21"/>
              </w:rPr>
              <w:t>办学</w:t>
            </w:r>
          </w:p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b/>
                <w:kern w:val="2"/>
                <w:szCs w:val="21"/>
              </w:rPr>
            </w:pPr>
            <w:r>
              <w:rPr>
                <w:rFonts w:hint="eastAsia" w:ascii="宋体" w:hAnsi="宋体"/>
                <w:b/>
                <w:kern w:val="2"/>
                <w:szCs w:val="21"/>
              </w:rPr>
              <w:t>状态</w:t>
            </w:r>
          </w:p>
        </w:tc>
        <w:tc>
          <w:tcPr>
            <w:tcW w:w="251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占地面积</w:t>
            </w:r>
          </w:p>
        </w:tc>
        <w:tc>
          <w:tcPr>
            <w:tcW w:w="1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341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在校生规模/生均占地面积</w:t>
            </w:r>
          </w:p>
        </w:tc>
        <w:tc>
          <w:tcPr>
            <w:tcW w:w="22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教学行政用房/生均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1575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教学仪器科研设备总值/生均</w:t>
            </w:r>
          </w:p>
        </w:tc>
        <w:tc>
          <w:tcPr>
            <w:tcW w:w="2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实验实训场所面积/生均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专业设置数</w:t>
            </w:r>
          </w:p>
        </w:tc>
        <w:tc>
          <w:tcPr>
            <w:tcW w:w="2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教职工总数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专任教师数/(专任教师)生师比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专任教师硕士及以上人数/占比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专任教师双师素质人数/占比</w:t>
            </w:r>
          </w:p>
        </w:tc>
        <w:tc>
          <w:tcPr>
            <w:tcW w:w="2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今年全日制招生人数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今年新生报到数/报到率</w:t>
            </w:r>
          </w:p>
        </w:tc>
        <w:tc>
          <w:tcPr>
            <w:tcW w:w="2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联合本科举办四年制专业数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联合本科培养的四年制在校生数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3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b/>
                <w:kern w:val="2"/>
                <w:szCs w:val="21"/>
              </w:rPr>
            </w:pPr>
            <w:r>
              <w:rPr>
                <w:rFonts w:hint="eastAsia" w:ascii="宋体" w:hAnsi="宋体"/>
                <w:b/>
                <w:kern w:val="2"/>
                <w:szCs w:val="21"/>
              </w:rPr>
              <w:t>人才培养</w:t>
            </w:r>
          </w:p>
        </w:tc>
        <w:tc>
          <w:tcPr>
            <w:tcW w:w="251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教学业绩考核等次</w:t>
            </w:r>
          </w:p>
        </w:tc>
        <w:tc>
          <w:tcPr>
            <w:tcW w:w="24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2012-2013学年:</w:t>
            </w:r>
          </w:p>
        </w:tc>
        <w:tc>
          <w:tcPr>
            <w:tcW w:w="24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2013-2014学年:</w:t>
            </w:r>
          </w:p>
        </w:tc>
        <w:tc>
          <w:tcPr>
            <w:tcW w:w="22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2014-2015学年: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获教学成果奖项总数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 w:val="20"/>
                <w:szCs w:val="21"/>
              </w:rPr>
            </w:pPr>
            <w:r>
              <w:rPr>
                <w:rFonts w:hint="eastAsia" w:ascii="宋体" w:hAnsi="宋体"/>
                <w:kern w:val="2"/>
                <w:sz w:val="20"/>
                <w:szCs w:val="21"/>
              </w:rPr>
              <w:t xml:space="preserve">2009年省级/国家级:       </w:t>
            </w: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 w:val="20"/>
                <w:szCs w:val="21"/>
              </w:rPr>
            </w:pPr>
            <w:r>
              <w:rPr>
                <w:rFonts w:hint="eastAsia" w:ascii="宋体" w:hAnsi="宋体"/>
                <w:kern w:val="2"/>
                <w:sz w:val="20"/>
                <w:szCs w:val="21"/>
              </w:rPr>
              <w:t xml:space="preserve">2014年省级/国家级:       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 w:val="20"/>
                <w:szCs w:val="21"/>
              </w:rPr>
            </w:pPr>
            <w:r>
              <w:rPr>
                <w:rFonts w:hint="eastAsia" w:ascii="宋体" w:hAnsi="宋体"/>
                <w:kern w:val="2"/>
                <w:sz w:val="20"/>
                <w:szCs w:val="21"/>
              </w:rPr>
              <w:t>2016年省级: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教师获奖励表彰人数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省级/国家级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专业建设项目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省级/国家级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专业教学资源库项目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国家级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教材建设项目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国家级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实训基地项目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省级/国家级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/>
              <w:autoSpaceDN/>
              <w:adjustRightInd/>
              <w:spacing w:line="240" w:lineRule="exact"/>
              <w:ind w:right="525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ordWrap w:val="0"/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课程建设项目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ordWrap w:val="0"/>
              <w:autoSpaceDE/>
              <w:autoSpaceDN/>
              <w:adjustRightInd/>
              <w:spacing w:line="240" w:lineRule="exact"/>
              <w:ind w:right="142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省级/国家级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autoSpaceDE/>
              <w:autoSpaceDN/>
              <w:adjustRightInd/>
              <w:spacing w:line="240" w:lineRule="exact"/>
              <w:ind w:right="63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教学改革项目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64"/>
              </w:tabs>
              <w:wordWrap w:val="0"/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省级/国家级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525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ordWrap w:val="0"/>
              <w:autoSpaceDE/>
              <w:autoSpaceDN/>
              <w:adjustRightInd/>
              <w:spacing w:line="240" w:lineRule="exact"/>
              <w:ind w:right="-18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技能竞赛奖项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ordWrap w:val="0"/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省级/国家级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autoSpaceDE/>
              <w:autoSpaceDN/>
              <w:adjustRightInd/>
              <w:spacing w:line="240" w:lineRule="exact"/>
              <w:ind w:right="63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b/>
                <w:kern w:val="2"/>
                <w:szCs w:val="21"/>
              </w:rPr>
            </w:pPr>
            <w:r>
              <w:rPr>
                <w:rFonts w:hint="eastAsia" w:ascii="宋体" w:hAnsi="宋体"/>
                <w:b/>
                <w:kern w:val="2"/>
                <w:szCs w:val="21"/>
              </w:rPr>
              <w:t>社会服务</w:t>
            </w:r>
          </w:p>
        </w:tc>
        <w:tc>
          <w:tcPr>
            <w:tcW w:w="3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945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近三年毕业生总数</w:t>
            </w:r>
          </w:p>
        </w:tc>
        <w:tc>
          <w:tcPr>
            <w:tcW w:w="13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525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204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bCs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近三年毕业生就业率（平均）</w:t>
            </w:r>
          </w:p>
        </w:tc>
        <w:tc>
          <w:tcPr>
            <w:tcW w:w="22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-2" w:rightChars="-1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Cs w:val="21"/>
              </w:rPr>
              <w:t>近三年学生对学校满意度（平均）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735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Cs w:val="21"/>
              </w:rPr>
              <w:t>近三年用人单位满意度（平均）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176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获设省级重点实验室/省级创新平台/省级哲学社科基地数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/>
              <w:autoSpaceDN/>
              <w:adjustRightInd/>
              <w:spacing w:line="240" w:lineRule="exact"/>
              <w:ind w:right="121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高职教育研究机构设立情况（是/否）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176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横向技术服务到款额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纵向技术服务到款额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-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承担科研项目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4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省级/国家级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63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授权专利数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317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承担国培项目数/培训人数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在校留学生数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exact"/>
              <w:ind w:right="420" w:firstLine="0" w:firstLineChars="0"/>
              <w:jc w:val="both"/>
              <w:rPr>
                <w:rFonts w:ascii="宋体" w:hAnsi="宋体"/>
                <w:kern w:val="2"/>
                <w:szCs w:val="21"/>
              </w:rPr>
            </w:pPr>
          </w:p>
        </w:tc>
      </w:tr>
    </w:tbl>
    <w:p>
      <w:pPr>
        <w:widowControl/>
        <w:autoSpaceDE/>
        <w:autoSpaceDN/>
        <w:adjustRightInd/>
        <w:ind w:firstLine="0" w:firstLineChars="0"/>
        <w:rPr>
          <w:rFonts w:ascii="黑体" w:eastAsia="黑体"/>
          <w:b/>
          <w:bCs/>
          <w:szCs w:val="21"/>
        </w:rPr>
        <w:sectPr>
          <w:footerReference r:id="rId3" w:type="default"/>
          <w:footerReference r:id="rId4" w:type="even"/>
          <w:footnotePr>
            <w:numFmt w:val="decimalEnclosedCircleChinese"/>
          </w:footnotePr>
          <w:pgSz w:w="11906" w:h="16838"/>
          <w:pgMar w:top="1928" w:right="1531" w:bottom="1928" w:left="1531" w:header="851" w:footer="1701" w:gutter="0"/>
          <w:pgNumType w:fmt="numberInDash"/>
          <w:cols w:space="720" w:num="1"/>
          <w:docGrid w:type="lines" w:linePitch="312" w:charSpace="0"/>
        </w:sectPr>
      </w:pPr>
    </w:p>
    <w:p>
      <w:pPr>
        <w:autoSpaceDE/>
        <w:autoSpaceDN/>
        <w:adjustRightInd/>
        <w:spacing w:line="240" w:lineRule="auto"/>
        <w:ind w:firstLine="413" w:firstLineChars="147"/>
        <w:jc w:val="both"/>
        <w:rPr>
          <w:rFonts w:ascii="黑体" w:eastAsia="黑体"/>
          <w:b/>
          <w:bCs/>
          <w:kern w:val="2"/>
          <w:sz w:val="28"/>
          <w:szCs w:val="28"/>
        </w:rPr>
      </w:pPr>
      <w:r>
        <w:rPr>
          <w:rFonts w:hint="eastAsia" w:ascii="黑体" w:eastAsia="黑体"/>
          <w:b/>
          <w:bCs/>
          <w:kern w:val="2"/>
          <w:sz w:val="28"/>
          <w:szCs w:val="28"/>
        </w:rPr>
        <w:t>二、</w:t>
      </w:r>
      <w:r>
        <w:rPr>
          <w:rFonts w:ascii="黑体" w:eastAsia="黑体"/>
          <w:b/>
          <w:bCs/>
          <w:kern w:val="2"/>
          <w:sz w:val="28"/>
          <w:szCs w:val="28"/>
        </w:rPr>
        <w:t>现有办学基础</w:t>
      </w:r>
      <w:r>
        <w:rPr>
          <w:rFonts w:hint="eastAsia" w:ascii="黑体" w:eastAsia="黑体"/>
          <w:b/>
          <w:bCs/>
          <w:kern w:val="2"/>
          <w:sz w:val="28"/>
          <w:szCs w:val="28"/>
        </w:rPr>
        <w:t>和优势特色概述</w:t>
      </w:r>
    </w:p>
    <w:tbl>
      <w:tblPr>
        <w:tblStyle w:val="6"/>
        <w:tblW w:w="464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（</w:t>
            </w:r>
            <w:r>
              <w:rPr>
                <w:rFonts w:hint="eastAsia" w:eastAsia="仿宋_GB2312"/>
                <w:szCs w:val="21"/>
              </w:rPr>
              <w:t>200</w:t>
            </w:r>
            <w:r>
              <w:rPr>
                <w:rFonts w:eastAsia="仿宋_GB2312"/>
                <w:szCs w:val="21"/>
              </w:rPr>
              <w:t>0字以内，主要包括：学校</w:t>
            </w:r>
            <w:r>
              <w:rPr>
                <w:rFonts w:hint="eastAsia" w:eastAsia="仿宋_GB2312"/>
                <w:szCs w:val="21"/>
              </w:rPr>
              <w:t>现有</w:t>
            </w:r>
            <w:r>
              <w:rPr>
                <w:rFonts w:eastAsia="仿宋_GB2312"/>
                <w:szCs w:val="21"/>
              </w:rPr>
              <w:t>办学</w:t>
            </w:r>
            <w:r>
              <w:rPr>
                <w:rFonts w:hint="eastAsia" w:eastAsia="仿宋_GB2312"/>
                <w:szCs w:val="21"/>
              </w:rPr>
              <w:t>条件、水平和特色，在省内外高职院校和行业领域的地位和影响）</w:t>
            </w:r>
          </w:p>
        </w:tc>
      </w:tr>
    </w:tbl>
    <w:p>
      <w:pPr>
        <w:widowControl/>
        <w:autoSpaceDE/>
        <w:autoSpaceDN/>
        <w:adjustRightInd/>
        <w:spacing w:line="240" w:lineRule="auto"/>
        <w:ind w:firstLine="0" w:firstLineChars="0"/>
        <w:rPr>
          <w:rFonts w:eastAsia="仿宋_GB2312"/>
          <w:color w:val="000000"/>
          <w:kern w:val="2"/>
          <w:szCs w:val="21"/>
        </w:rPr>
        <w:sectPr>
          <w:footerReference r:id="rId5" w:type="default"/>
          <w:footnotePr>
            <w:numFmt w:val="decimalEnclosedCircleChinese"/>
            <w:numRestart w:val="eachPage"/>
          </w:footnotePr>
          <w:pgSz w:w="11906" w:h="16838"/>
          <w:pgMar w:top="1134" w:right="1247" w:bottom="1134" w:left="1247" w:header="851" w:footer="992" w:gutter="0"/>
          <w:pgNumType w:fmt="numberInDash"/>
          <w:cols w:space="720" w:num="1"/>
        </w:sectPr>
      </w:pPr>
    </w:p>
    <w:p>
      <w:pPr>
        <w:autoSpaceDE/>
        <w:autoSpaceDN/>
        <w:adjustRightInd/>
        <w:spacing w:line="240" w:lineRule="auto"/>
        <w:ind w:firstLine="0" w:firstLineChars="0"/>
        <w:jc w:val="both"/>
        <w:rPr>
          <w:rFonts w:eastAsia="黑体"/>
          <w:b/>
          <w:kern w:val="2"/>
          <w:sz w:val="28"/>
          <w:szCs w:val="28"/>
        </w:rPr>
      </w:pPr>
      <w:r>
        <w:rPr>
          <w:rFonts w:hint="eastAsia" w:eastAsia="黑体"/>
          <w:b/>
          <w:color w:val="000000"/>
          <w:kern w:val="2"/>
          <w:sz w:val="28"/>
          <w:szCs w:val="28"/>
        </w:rPr>
        <w:t>三、</w:t>
      </w:r>
      <w:r>
        <w:rPr>
          <w:rFonts w:eastAsia="黑体"/>
          <w:b/>
          <w:color w:val="000000"/>
          <w:kern w:val="2"/>
          <w:sz w:val="28"/>
          <w:szCs w:val="28"/>
        </w:rPr>
        <w:t>总体建设目标</w:t>
      </w:r>
      <w:r>
        <w:rPr>
          <w:rFonts w:hint="eastAsia" w:eastAsia="黑体"/>
          <w:b/>
          <w:color w:val="000000"/>
          <w:kern w:val="2"/>
          <w:sz w:val="28"/>
          <w:szCs w:val="28"/>
        </w:rPr>
        <w:t>、思路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6" w:hRule="atLeast"/>
        </w:trPr>
        <w:tc>
          <w:tcPr>
            <w:tcW w:w="8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  <w:r>
              <w:rPr>
                <w:rFonts w:eastAsia="仿宋_GB2312"/>
                <w:color w:val="000000"/>
                <w:kern w:val="2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2"/>
                <w:szCs w:val="21"/>
              </w:rPr>
              <w:t>20</w:t>
            </w:r>
            <w:r>
              <w:rPr>
                <w:rFonts w:eastAsia="仿宋_GB2312"/>
                <w:color w:val="000000"/>
                <w:kern w:val="2"/>
                <w:szCs w:val="21"/>
              </w:rPr>
              <w:t>00字以内，</w:t>
            </w:r>
            <w:r>
              <w:rPr>
                <w:rFonts w:hint="eastAsia" w:eastAsia="仿宋_GB2312"/>
                <w:color w:val="000000"/>
                <w:kern w:val="2"/>
                <w:szCs w:val="21"/>
              </w:rPr>
              <w:t>主要</w:t>
            </w:r>
            <w:r>
              <w:rPr>
                <w:rFonts w:eastAsia="仿宋_GB2312"/>
                <w:color w:val="000000"/>
                <w:kern w:val="2"/>
                <w:szCs w:val="21"/>
              </w:rPr>
              <w:t>包括：建设周期内</w:t>
            </w:r>
            <w:r>
              <w:rPr>
                <w:rFonts w:hint="eastAsia" w:eastAsia="仿宋_GB2312"/>
                <w:color w:val="000000"/>
                <w:kern w:val="2"/>
                <w:szCs w:val="21"/>
              </w:rPr>
              <w:t>将达成的总体目标，</w:t>
            </w:r>
            <w:r>
              <w:rPr>
                <w:rFonts w:eastAsia="仿宋_GB2312"/>
                <w:color w:val="000000"/>
                <w:kern w:val="2"/>
                <w:szCs w:val="21"/>
              </w:rPr>
              <w:t>重点</w:t>
            </w:r>
            <w:r>
              <w:rPr>
                <w:rFonts w:hint="eastAsia" w:eastAsia="仿宋_GB2312"/>
                <w:color w:val="000000"/>
                <w:kern w:val="2"/>
                <w:szCs w:val="21"/>
              </w:rPr>
              <w:t>开展的项目</w:t>
            </w:r>
            <w:r>
              <w:rPr>
                <w:rFonts w:eastAsia="仿宋_GB2312"/>
                <w:color w:val="000000"/>
                <w:kern w:val="2"/>
                <w:szCs w:val="21"/>
              </w:rPr>
              <w:t>任务、</w:t>
            </w:r>
            <w:r>
              <w:rPr>
                <w:rFonts w:hint="eastAsia" w:eastAsia="仿宋_GB2312"/>
                <w:color w:val="000000"/>
                <w:kern w:val="2"/>
                <w:szCs w:val="21"/>
              </w:rPr>
              <w:t>推进的改革举措</w:t>
            </w:r>
            <w:r>
              <w:rPr>
                <w:rFonts w:eastAsia="仿宋_GB2312"/>
                <w:color w:val="000000"/>
                <w:kern w:val="2"/>
                <w:szCs w:val="21"/>
              </w:rPr>
              <w:t>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Cs w:val="21"/>
              </w:rPr>
            </w:pPr>
          </w:p>
        </w:tc>
      </w:tr>
    </w:tbl>
    <w:p>
      <w:pPr>
        <w:autoSpaceDE/>
        <w:autoSpaceDN/>
        <w:adjustRightInd/>
        <w:spacing w:line="240" w:lineRule="auto"/>
        <w:ind w:firstLine="0" w:firstLineChars="0"/>
        <w:jc w:val="both"/>
        <w:rPr>
          <w:rFonts w:eastAsia="黑体"/>
          <w:b/>
          <w:color w:val="000000"/>
          <w:kern w:val="2"/>
          <w:sz w:val="28"/>
          <w:szCs w:val="28"/>
        </w:rPr>
      </w:pPr>
      <w:r>
        <w:rPr>
          <w:rFonts w:eastAsia="仿宋_GB2312"/>
          <w:color w:val="000000"/>
          <w:kern w:val="2"/>
          <w:szCs w:val="21"/>
        </w:rPr>
        <w:br w:type="page"/>
      </w:r>
      <w:r>
        <w:rPr>
          <w:rFonts w:hint="eastAsia" w:eastAsia="黑体"/>
          <w:b/>
          <w:color w:val="000000"/>
          <w:kern w:val="2"/>
          <w:sz w:val="28"/>
          <w:szCs w:val="28"/>
        </w:rPr>
        <w:t>四、</w:t>
      </w:r>
      <w:r>
        <w:rPr>
          <w:rFonts w:eastAsia="黑体"/>
          <w:b/>
          <w:color w:val="000000"/>
          <w:kern w:val="2"/>
          <w:sz w:val="28"/>
          <w:szCs w:val="28"/>
        </w:rPr>
        <w:t>分项建设</w:t>
      </w:r>
      <w:r>
        <w:rPr>
          <w:rFonts w:hint="eastAsia" w:eastAsia="黑体"/>
          <w:b/>
          <w:color w:val="000000"/>
          <w:kern w:val="2"/>
          <w:sz w:val="28"/>
          <w:szCs w:val="28"/>
        </w:rPr>
        <w:t>任务</w:t>
      </w:r>
      <w:r>
        <w:rPr>
          <w:rFonts w:eastAsia="黑体"/>
          <w:b/>
          <w:color w:val="000000"/>
          <w:kern w:val="2"/>
          <w:sz w:val="28"/>
          <w:szCs w:val="28"/>
        </w:rPr>
        <w:t>（包括建设目标、内容、举措）</w:t>
      </w:r>
    </w:p>
    <w:tbl>
      <w:tblPr>
        <w:tblStyle w:val="6"/>
        <w:tblW w:w="86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4.1</w:t>
            </w:r>
            <w:r>
              <w:rPr>
                <w:rFonts w:eastAsia="仿宋_GB2312"/>
                <w:sz w:val="24"/>
                <w:szCs w:val="24"/>
              </w:rPr>
              <w:t>体制机制创新与综合改革（1000字以内）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4.2 </w:t>
            </w:r>
            <w:r>
              <w:rPr>
                <w:rFonts w:hint="eastAsia" w:eastAsia="仿宋_GB2312"/>
                <w:sz w:val="24"/>
                <w:szCs w:val="24"/>
              </w:rPr>
              <w:t>优势特色专业群建设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00字以内）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4.3</w:t>
            </w:r>
            <w:r>
              <w:rPr>
                <w:rFonts w:hint="eastAsia" w:eastAsia="仿宋_GB2312"/>
                <w:sz w:val="24"/>
                <w:szCs w:val="24"/>
              </w:rPr>
              <w:t>高水平教师队伍建设（1000字以内）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4.4</w:t>
            </w:r>
            <w:r>
              <w:rPr>
                <w:rFonts w:hint="eastAsia" w:eastAsia="仿宋_GB2312"/>
                <w:sz w:val="24"/>
                <w:szCs w:val="24"/>
              </w:rPr>
              <w:t>技术技能积累和社会服务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00字以内）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4.5</w:t>
            </w:r>
            <w:r>
              <w:rPr>
                <w:rFonts w:eastAsia="仿宋_GB2312"/>
                <w:sz w:val="24"/>
                <w:szCs w:val="24"/>
              </w:rPr>
              <w:t>国际合作与交流（</w:t>
            </w:r>
            <w:r>
              <w:rPr>
                <w:rFonts w:hint="eastAsia" w:eastAsia="仿宋_GB2312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00字以内）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4.</w:t>
            </w:r>
            <w:r>
              <w:rPr>
                <w:rFonts w:hint="eastAsia" w:eastAsia="楷体"/>
                <w:sz w:val="24"/>
                <w:szCs w:val="24"/>
              </w:rPr>
              <w:t>6</w:t>
            </w:r>
            <w:r>
              <w:rPr>
                <w:rFonts w:hint="eastAsia" w:eastAsia="仿宋_GB2312"/>
                <w:sz w:val="24"/>
                <w:szCs w:val="24"/>
              </w:rPr>
              <w:t>体现特色的其他举措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00字以内）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楷体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楷体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楷体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楷体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楷体"/>
                <w:sz w:val="24"/>
                <w:szCs w:val="24"/>
              </w:rPr>
            </w:pPr>
          </w:p>
        </w:tc>
      </w:tr>
    </w:tbl>
    <w:p>
      <w:pPr>
        <w:autoSpaceDE/>
        <w:autoSpaceDN/>
        <w:adjustRightInd/>
        <w:ind w:firstLine="0" w:firstLineChars="0"/>
        <w:jc w:val="both"/>
        <w:rPr>
          <w:rFonts w:ascii="Calibri" w:hAnsi="Calibri" w:eastAsia="黑体"/>
          <w:b/>
          <w:bCs/>
          <w:color w:val="000000"/>
          <w:kern w:val="2"/>
          <w:sz w:val="28"/>
          <w:szCs w:val="28"/>
        </w:rPr>
      </w:pPr>
      <w:r>
        <w:rPr>
          <w:rFonts w:hint="eastAsia" w:ascii="Calibri" w:hAnsi="Calibri" w:eastAsia="黑体"/>
          <w:b/>
          <w:bCs/>
          <w:color w:val="000000"/>
          <w:kern w:val="2"/>
          <w:sz w:val="28"/>
          <w:szCs w:val="28"/>
        </w:rPr>
        <w:t>五、主管部门</w:t>
      </w:r>
      <w:r>
        <w:rPr>
          <w:rFonts w:ascii="Calibri" w:hAnsi="Calibri" w:eastAsia="黑体"/>
          <w:b/>
          <w:bCs/>
          <w:color w:val="000000"/>
          <w:kern w:val="2"/>
          <w:sz w:val="28"/>
          <w:szCs w:val="28"/>
        </w:rPr>
        <w:t>支持承诺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42"/>
        <w:gridCol w:w="1600"/>
        <w:gridCol w:w="2256"/>
        <w:gridCol w:w="1326"/>
        <w:gridCol w:w="2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1" w:hRule="atLeast"/>
          <w:jc w:val="center"/>
        </w:trPr>
        <w:tc>
          <w:tcPr>
            <w:tcW w:w="8677" w:type="dxa"/>
            <w:gridSpan w:val="6"/>
            <w:tcBorders>
              <w:bottom w:val="single" w:color="auto" w:sz="4" w:space="0"/>
            </w:tcBorders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包括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政策、资金、办学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定位等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hint="eastAsia"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10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省厅或行业直管高职院校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hint="eastAsia"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left="989" w:leftChars="471" w:firstLine="3045" w:firstLineChars="145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2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（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章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）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 </w:t>
            </w:r>
          </w:p>
          <w:p>
            <w:pPr>
              <w:autoSpaceDE/>
              <w:autoSpaceDN/>
              <w:adjustRightInd/>
              <w:spacing w:line="240" w:lineRule="auto"/>
              <w:ind w:left="802" w:leftChars="382" w:firstLine="3465" w:firstLineChars="165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日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10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地方高职院校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hint="eastAsia"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left="989" w:leftChars="471" w:firstLine="2940" w:firstLineChars="140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2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人民政府（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章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）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 </w:t>
            </w:r>
          </w:p>
          <w:p>
            <w:pPr>
              <w:autoSpaceDE/>
              <w:autoSpaceDN/>
              <w:adjustRightInd/>
              <w:spacing w:line="240" w:lineRule="auto"/>
              <w:ind w:left="802" w:leftChars="382" w:firstLine="3465" w:firstLineChars="165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日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  <w:jc w:val="center"/>
        </w:trPr>
        <w:tc>
          <w:tcPr>
            <w:tcW w:w="10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2"/>
                <w:szCs w:val="21"/>
              </w:rPr>
              <w:t>计划单列市高职院校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hint="eastAsia"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hint="eastAsia"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</w:p>
          <w:p>
            <w:pPr>
              <w:autoSpaceDE/>
              <w:autoSpaceDN/>
              <w:adjustRightInd/>
              <w:spacing w:line="240" w:lineRule="auto"/>
              <w:ind w:left="990"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2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教育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局（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章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）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  <w:u w:val="single"/>
              </w:rPr>
              <w:t xml:space="preserve">         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财政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局（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章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>）</w:t>
            </w:r>
          </w:p>
          <w:p>
            <w:pPr>
              <w:autoSpaceDE/>
              <w:autoSpaceDN/>
              <w:adjustRightInd/>
              <w:spacing w:line="240" w:lineRule="auto"/>
              <w:ind w:left="839" w:firstLine="0" w:firstLineChars="0"/>
              <w:jc w:val="both"/>
              <w:rPr>
                <w:rFonts w:ascii="宋体" w:hAnsi="宋体"/>
                <w:bCs/>
                <w:color w:val="000000"/>
                <w:kern w:val="2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日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            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月</w:t>
            </w:r>
            <w:r>
              <w:rPr>
                <w:rFonts w:hint="eastAsia" w:ascii="宋体" w:hAnsi="宋体"/>
                <w:bCs/>
                <w:color w:val="000000"/>
                <w:kern w:val="2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kern w:val="2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8" w:type="dxa"/>
            <w:gridSpan w:val="2"/>
            <w:vMerge w:val="restart"/>
            <w:vAlign w:val="center"/>
          </w:tcPr>
          <w:p>
            <w:pPr>
              <w:autoSpaceDE/>
              <w:autoSpaceDN/>
              <w:adjustRightInd/>
              <w:spacing w:line="600" w:lineRule="exact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position w:val="6"/>
                <w:szCs w:val="21"/>
              </w:rPr>
              <w:t>联系方式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  <w:r>
              <w:rPr>
                <w:rFonts w:ascii="宋体" w:hAnsi="宋体"/>
                <w:color w:val="000000"/>
                <w:kern w:val="2"/>
                <w:position w:val="6"/>
                <w:szCs w:val="21"/>
              </w:rPr>
              <w:t>姓</w:t>
            </w:r>
            <w:r>
              <w:rPr>
                <w:rFonts w:hint="eastAsia" w:ascii="宋体" w:hAnsi="宋体"/>
                <w:color w:val="000000"/>
                <w:kern w:val="2"/>
                <w:position w:val="6"/>
                <w:szCs w:val="21"/>
              </w:rPr>
              <w:t xml:space="preserve">     </w:t>
            </w:r>
            <w:r>
              <w:rPr>
                <w:rFonts w:ascii="宋体" w:hAnsi="宋体"/>
                <w:color w:val="000000"/>
                <w:kern w:val="2"/>
                <w:position w:val="6"/>
                <w:szCs w:val="21"/>
              </w:rPr>
              <w:t xml:space="preserve"> 名</w:t>
            </w:r>
          </w:p>
        </w:tc>
        <w:tc>
          <w:tcPr>
            <w:tcW w:w="2256" w:type="dxa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  <w:r>
              <w:rPr>
                <w:rFonts w:ascii="宋体" w:hAnsi="宋体"/>
                <w:color w:val="000000"/>
                <w:kern w:val="2"/>
                <w:position w:val="6"/>
                <w:szCs w:val="21"/>
              </w:rPr>
              <w:t>部门及职务</w:t>
            </w:r>
          </w:p>
        </w:tc>
        <w:tc>
          <w:tcPr>
            <w:tcW w:w="23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178" w:type="dxa"/>
            <w:gridSpan w:val="2"/>
            <w:vMerge w:val="continue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  <w:r>
              <w:rPr>
                <w:rFonts w:ascii="宋体" w:hAnsi="宋体"/>
                <w:color w:val="000000"/>
                <w:kern w:val="2"/>
                <w:position w:val="6"/>
                <w:szCs w:val="21"/>
              </w:rPr>
              <w:t>办公室电话</w:t>
            </w:r>
          </w:p>
        </w:tc>
        <w:tc>
          <w:tcPr>
            <w:tcW w:w="2256" w:type="dxa"/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  <w:r>
              <w:rPr>
                <w:rFonts w:ascii="宋体" w:hAnsi="宋体"/>
                <w:color w:val="000000"/>
                <w:kern w:val="2"/>
                <w:position w:val="6"/>
                <w:szCs w:val="21"/>
              </w:rPr>
              <w:t xml:space="preserve">传 </w:t>
            </w:r>
            <w:r>
              <w:rPr>
                <w:rFonts w:hint="eastAsia" w:ascii="宋体" w:hAnsi="宋体"/>
                <w:color w:val="000000"/>
                <w:kern w:val="2"/>
                <w:position w:val="6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2"/>
                <w:position w:val="6"/>
                <w:szCs w:val="21"/>
              </w:rPr>
              <w:t xml:space="preserve"> 真</w:t>
            </w:r>
          </w:p>
        </w:tc>
        <w:tc>
          <w:tcPr>
            <w:tcW w:w="23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78" w:type="dxa"/>
            <w:gridSpan w:val="2"/>
            <w:vMerge w:val="continue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  <w:r>
              <w:rPr>
                <w:rFonts w:ascii="宋体" w:hAnsi="宋体"/>
                <w:color w:val="000000"/>
                <w:kern w:val="2"/>
                <w:position w:val="6"/>
                <w:szCs w:val="21"/>
              </w:rPr>
              <w:t xml:space="preserve">手 </w:t>
            </w:r>
            <w:r>
              <w:rPr>
                <w:rFonts w:hint="eastAsia" w:ascii="宋体" w:hAnsi="宋体"/>
                <w:color w:val="000000"/>
                <w:kern w:val="2"/>
                <w:position w:val="6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kern w:val="2"/>
                <w:position w:val="6"/>
                <w:szCs w:val="21"/>
              </w:rPr>
              <w:t xml:space="preserve"> 机</w:t>
            </w:r>
          </w:p>
        </w:tc>
        <w:tc>
          <w:tcPr>
            <w:tcW w:w="2256" w:type="dxa"/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position w:val="6"/>
                <w:szCs w:val="21"/>
              </w:rPr>
              <w:t>电子邮箱</w:t>
            </w:r>
          </w:p>
        </w:tc>
        <w:tc>
          <w:tcPr>
            <w:tcW w:w="2317" w:type="dxa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420" w:lineRule="exact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position w:val="6"/>
                <w:szCs w:val="21"/>
              </w:rPr>
            </w:pPr>
          </w:p>
        </w:tc>
      </w:tr>
    </w:tbl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0" w:afterAutospacing="0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- 3 -</w:t>
    </w:r>
    <w:r>
      <w:rPr>
        <w:rStyle w:val="9"/>
      </w:rPr>
      <w:fldChar w:fldCharType="end"/>
    </w:r>
  </w:p>
  <w:p>
    <w:pPr>
      <w:pStyle w:val="4"/>
      <w:framePr w:wrap="around" w:vAnchor="text" w:hAnchor="margin" w:xAlign="right" w:y="1"/>
      <w:rPr>
        <w:rStyle w:val="9"/>
      </w:rPr>
    </w:pP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03FF1"/>
    <w:rsid w:val="57372522"/>
    <w:rsid w:val="5E8A2449"/>
    <w:rsid w:val="70A0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="50" w:afterLines="50" w:afterAutospacing="0" w:line="360" w:lineRule="auto"/>
      <w:ind w:firstLine="0" w:firstLineChars="0"/>
      <w:jc w:val="center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rFonts w:eastAsia="黑体" w:asciiTheme="minorAscii" w:hAnsiTheme="minorAscii"/>
      <w:b/>
      <w:kern w:val="44"/>
      <w:sz w:val="48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2021-01-26T00:34:00Z</dcterms:created>
  <dc:creator>000</dc:creator>
  <cp:lastModifiedBy>000</cp:lastModifiedBy>
  <dcterms:modified xsi:type="dcterms:W3CDTF">2021-01-26T00:36:17Z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