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1438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15" w:type="dxa"/>
          <w:left w:w="15" w:type="dxa"/>
          <w:bottom w:w="15" w:type="dxa"/>
          <w:right w:w="15" w:type="dxa"/>
        </w:tblCellMar>
      </w:tblPr>
      <w:tblGrid>
        <w:gridCol w:w="1150"/>
        <w:gridCol w:w="6040"/>
        <w:gridCol w:w="1150"/>
        <w:gridCol w:w="6040"/>
      </w:tblGrid>
      <w:tr w14:paraId="712EE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150" w:type="dxa"/>
            <w:tcBorders>
              <w:top w:val="nil"/>
              <w:left w:val="nil"/>
              <w:bottom w:val="dashed" w:color="auto" w:sz="4" w:space="0"/>
              <w:right w:val="nil"/>
            </w:tcBorders>
            <w:shd w:val="clear"/>
            <w:tcMar>
              <w:top w:w="180" w:type="dxa"/>
              <w:left w:w="0" w:type="dxa"/>
              <w:bottom w:w="180" w:type="dxa"/>
              <w:right w:w="0" w:type="dxa"/>
            </w:tcMar>
            <w:vAlign w:val="center"/>
          </w:tcPr>
          <w:p w14:paraId="7639EDEA">
            <w:pPr>
              <w:keepNext w:val="0"/>
              <w:keepLines w:val="0"/>
              <w:widowControl/>
              <w:suppressLineNumbers w:val="0"/>
              <w:spacing w:before="0" w:beforeAutospacing="0" w:after="0" w:afterAutospacing="0" w:line="240" w:lineRule="atLeast"/>
              <w:ind w:left="0" w:right="0"/>
              <w:jc w:val="left"/>
              <w:rPr>
                <w:rFonts w:hint="eastAsia" w:ascii="宋体" w:hAnsi="宋体" w:eastAsia="宋体" w:cs="宋体"/>
                <w:color w:val="545454"/>
                <w:sz w:val="21"/>
                <w:szCs w:val="21"/>
              </w:rPr>
            </w:pPr>
            <w:r>
              <w:rPr>
                <w:rFonts w:hint="eastAsia" w:ascii="宋体" w:hAnsi="宋体" w:eastAsia="宋体" w:cs="宋体"/>
                <w:snapToGrid w:val="0"/>
                <w:color w:val="000000"/>
                <w:kern w:val="0"/>
                <w:sz w:val="21"/>
                <w:szCs w:val="21"/>
                <w:bdr w:val="none" w:color="auto" w:sz="0" w:space="0"/>
                <w:lang w:val="en-US" w:eastAsia="zh-CN" w:bidi="ar"/>
              </w:rPr>
              <w:t>标  题：</w:t>
            </w:r>
          </w:p>
        </w:tc>
        <w:tc>
          <w:tcPr>
            <w:tcW w:w="6040" w:type="dxa"/>
            <w:tcBorders>
              <w:top w:val="nil"/>
              <w:left w:val="nil"/>
              <w:bottom w:val="dashed" w:color="auto" w:sz="4" w:space="0"/>
              <w:right w:val="nil"/>
            </w:tcBorders>
            <w:shd w:val="clear"/>
            <w:tcMar>
              <w:top w:w="180" w:type="dxa"/>
              <w:left w:w="0" w:type="dxa"/>
              <w:bottom w:w="180" w:type="dxa"/>
              <w:right w:w="0" w:type="dxa"/>
            </w:tcMar>
            <w:vAlign w:val="center"/>
          </w:tcPr>
          <w:p w14:paraId="0BE333EA">
            <w:pPr>
              <w:keepNext w:val="0"/>
              <w:keepLines w:val="0"/>
              <w:widowControl/>
              <w:suppressLineNumbers w:val="0"/>
              <w:spacing w:before="0" w:beforeAutospacing="0" w:after="0" w:afterAutospacing="0" w:line="240" w:lineRule="atLeast"/>
              <w:ind w:left="0" w:right="0"/>
              <w:jc w:val="left"/>
              <w:rPr>
                <w:rFonts w:hint="eastAsia" w:ascii="宋体" w:hAnsi="宋体" w:eastAsia="宋体" w:cs="宋体"/>
                <w:color w:val="545454"/>
                <w:sz w:val="21"/>
                <w:szCs w:val="21"/>
              </w:rPr>
            </w:pPr>
            <w:r>
              <w:rPr>
                <w:rFonts w:hint="eastAsia" w:ascii="宋体" w:hAnsi="宋体" w:eastAsia="宋体" w:cs="宋体"/>
                <w:snapToGrid w:val="0"/>
                <w:color w:val="000000"/>
                <w:kern w:val="0"/>
                <w:sz w:val="21"/>
                <w:szCs w:val="21"/>
                <w:bdr w:val="none" w:color="auto" w:sz="0" w:space="0"/>
                <w:lang w:val="en-US" w:eastAsia="zh-CN" w:bidi="ar"/>
              </w:rPr>
              <w:t>教育部关于深化职业教育教学关键要素改革的意见</w:t>
            </w:r>
          </w:p>
        </w:tc>
        <w:tc>
          <w:tcPr>
            <w:tcW w:w="1150" w:type="dxa"/>
            <w:tcBorders>
              <w:top w:val="nil"/>
              <w:left w:val="nil"/>
              <w:bottom w:val="dashed" w:color="auto" w:sz="4" w:space="0"/>
              <w:right w:val="nil"/>
            </w:tcBorders>
            <w:shd w:val="clear"/>
            <w:tcMar>
              <w:top w:w="180" w:type="dxa"/>
              <w:left w:w="0" w:type="dxa"/>
              <w:bottom w:w="180" w:type="dxa"/>
              <w:right w:w="0" w:type="dxa"/>
            </w:tcMar>
            <w:vAlign w:val="center"/>
          </w:tcPr>
          <w:p w14:paraId="391C45D4">
            <w:pPr>
              <w:keepNext w:val="0"/>
              <w:keepLines w:val="0"/>
              <w:widowControl/>
              <w:suppressLineNumbers w:val="0"/>
              <w:spacing w:before="0" w:beforeAutospacing="0" w:after="0" w:afterAutospacing="0" w:line="240" w:lineRule="atLeast"/>
              <w:ind w:left="0" w:right="0"/>
              <w:jc w:val="left"/>
              <w:rPr>
                <w:rFonts w:hint="eastAsia" w:ascii="宋体" w:hAnsi="宋体" w:eastAsia="宋体" w:cs="宋体"/>
                <w:color w:val="545454"/>
                <w:sz w:val="21"/>
                <w:szCs w:val="21"/>
              </w:rPr>
            </w:pPr>
            <w:r>
              <w:rPr>
                <w:rFonts w:hint="eastAsia" w:ascii="宋体" w:hAnsi="宋体" w:eastAsia="宋体" w:cs="宋体"/>
                <w:snapToGrid w:val="0"/>
                <w:color w:val="000000"/>
                <w:kern w:val="0"/>
                <w:sz w:val="21"/>
                <w:szCs w:val="21"/>
                <w:bdr w:val="none" w:color="auto" w:sz="0" w:space="0"/>
                <w:lang w:val="en-US" w:eastAsia="zh-CN" w:bidi="ar"/>
              </w:rPr>
              <w:t>发文机关：</w:t>
            </w:r>
          </w:p>
        </w:tc>
        <w:tc>
          <w:tcPr>
            <w:tcW w:w="0" w:type="auto"/>
            <w:tcBorders>
              <w:top w:val="nil"/>
              <w:left w:val="nil"/>
              <w:bottom w:val="dashed" w:color="auto" w:sz="4" w:space="0"/>
              <w:right w:val="nil"/>
            </w:tcBorders>
            <w:shd w:val="clear"/>
            <w:tcMar>
              <w:top w:w="180" w:type="dxa"/>
              <w:left w:w="0" w:type="dxa"/>
              <w:bottom w:w="180" w:type="dxa"/>
              <w:right w:w="0" w:type="dxa"/>
            </w:tcMar>
            <w:vAlign w:val="center"/>
          </w:tcPr>
          <w:p w14:paraId="07BBB462">
            <w:pPr>
              <w:keepNext w:val="0"/>
              <w:keepLines w:val="0"/>
              <w:widowControl/>
              <w:suppressLineNumbers w:val="0"/>
              <w:spacing w:before="0" w:beforeAutospacing="0" w:after="0" w:afterAutospacing="0" w:line="240" w:lineRule="atLeast"/>
              <w:ind w:left="0" w:right="0"/>
              <w:jc w:val="left"/>
              <w:rPr>
                <w:rFonts w:hint="eastAsia" w:ascii="宋体" w:hAnsi="宋体" w:eastAsia="宋体" w:cs="宋体"/>
                <w:color w:val="545454"/>
                <w:sz w:val="21"/>
                <w:szCs w:val="21"/>
              </w:rPr>
            </w:pPr>
            <w:r>
              <w:rPr>
                <w:rFonts w:hint="eastAsia" w:ascii="宋体" w:hAnsi="宋体" w:eastAsia="宋体" w:cs="宋体"/>
                <w:snapToGrid w:val="0"/>
                <w:color w:val="000000"/>
                <w:kern w:val="0"/>
                <w:sz w:val="21"/>
                <w:szCs w:val="21"/>
                <w:bdr w:val="none" w:color="auto" w:sz="0" w:space="0"/>
                <w:lang w:val="en-US" w:eastAsia="zh-CN" w:bidi="ar"/>
              </w:rPr>
              <w:t>教育部</w:t>
            </w:r>
          </w:p>
        </w:tc>
      </w:tr>
      <w:tr w14:paraId="47A86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0" w:type="dxa"/>
            <w:tcBorders>
              <w:top w:val="nil"/>
              <w:left w:val="nil"/>
              <w:bottom w:val="dashed" w:color="auto" w:sz="4" w:space="0"/>
              <w:right w:val="nil"/>
            </w:tcBorders>
            <w:shd w:val="clear"/>
            <w:tcMar>
              <w:top w:w="180" w:type="dxa"/>
              <w:left w:w="0" w:type="dxa"/>
              <w:bottom w:w="180" w:type="dxa"/>
              <w:right w:w="0" w:type="dxa"/>
            </w:tcMar>
            <w:vAlign w:val="center"/>
          </w:tcPr>
          <w:p w14:paraId="1B02C704">
            <w:pPr>
              <w:keepNext w:val="0"/>
              <w:keepLines w:val="0"/>
              <w:widowControl/>
              <w:suppressLineNumbers w:val="0"/>
              <w:spacing w:before="0" w:beforeAutospacing="0" w:after="0" w:afterAutospacing="0" w:line="240" w:lineRule="atLeast"/>
              <w:ind w:left="0" w:right="0"/>
              <w:jc w:val="left"/>
              <w:rPr>
                <w:rFonts w:hint="eastAsia" w:ascii="宋体" w:hAnsi="宋体" w:eastAsia="宋体" w:cs="宋体"/>
                <w:color w:val="545454"/>
                <w:sz w:val="21"/>
                <w:szCs w:val="21"/>
              </w:rPr>
            </w:pPr>
            <w:r>
              <w:rPr>
                <w:rFonts w:hint="eastAsia" w:ascii="宋体" w:hAnsi="宋体" w:eastAsia="宋体" w:cs="宋体"/>
                <w:snapToGrid w:val="0"/>
                <w:color w:val="000000"/>
                <w:kern w:val="0"/>
                <w:sz w:val="21"/>
                <w:szCs w:val="21"/>
                <w:bdr w:val="none" w:color="auto" w:sz="0" w:space="0"/>
                <w:lang w:val="en-US" w:eastAsia="zh-CN" w:bidi="ar"/>
              </w:rPr>
              <w:t>发文字号：</w:t>
            </w:r>
          </w:p>
        </w:tc>
        <w:tc>
          <w:tcPr>
            <w:tcW w:w="6040" w:type="dxa"/>
            <w:tcBorders>
              <w:top w:val="nil"/>
              <w:left w:val="nil"/>
              <w:bottom w:val="dashed" w:color="auto" w:sz="4" w:space="0"/>
              <w:right w:val="nil"/>
            </w:tcBorders>
            <w:shd w:val="clear"/>
            <w:tcMar>
              <w:top w:w="180" w:type="dxa"/>
              <w:left w:w="0" w:type="dxa"/>
              <w:bottom w:w="180" w:type="dxa"/>
              <w:right w:w="0" w:type="dxa"/>
            </w:tcMar>
            <w:vAlign w:val="center"/>
          </w:tcPr>
          <w:p w14:paraId="1B07B0A6">
            <w:pPr>
              <w:keepNext w:val="0"/>
              <w:keepLines w:val="0"/>
              <w:widowControl/>
              <w:suppressLineNumbers w:val="0"/>
              <w:spacing w:before="0" w:beforeAutospacing="0" w:after="0" w:afterAutospacing="0" w:line="240" w:lineRule="atLeast"/>
              <w:ind w:left="0" w:right="0"/>
              <w:jc w:val="left"/>
              <w:rPr>
                <w:rFonts w:hint="eastAsia" w:ascii="宋体" w:hAnsi="宋体" w:eastAsia="宋体" w:cs="宋体"/>
                <w:color w:val="545454"/>
                <w:sz w:val="21"/>
                <w:szCs w:val="21"/>
              </w:rPr>
            </w:pPr>
            <w:r>
              <w:rPr>
                <w:rFonts w:hint="eastAsia" w:ascii="宋体" w:hAnsi="宋体" w:eastAsia="宋体" w:cs="宋体"/>
                <w:snapToGrid w:val="0"/>
                <w:color w:val="000000"/>
                <w:kern w:val="0"/>
                <w:sz w:val="21"/>
                <w:szCs w:val="21"/>
                <w:bdr w:val="none" w:color="auto" w:sz="0" w:space="0"/>
                <w:lang w:val="en-US" w:eastAsia="zh-CN" w:bidi="ar"/>
              </w:rPr>
              <w:t>教职成〔2026〕1号</w:t>
            </w:r>
          </w:p>
        </w:tc>
        <w:tc>
          <w:tcPr>
            <w:tcW w:w="1150" w:type="dxa"/>
            <w:tcBorders>
              <w:top w:val="nil"/>
              <w:left w:val="nil"/>
              <w:bottom w:val="dashed" w:color="auto" w:sz="4" w:space="0"/>
              <w:right w:val="nil"/>
            </w:tcBorders>
            <w:shd w:val="clear"/>
            <w:tcMar>
              <w:top w:w="180" w:type="dxa"/>
              <w:left w:w="0" w:type="dxa"/>
              <w:bottom w:w="180" w:type="dxa"/>
              <w:right w:w="0" w:type="dxa"/>
            </w:tcMar>
            <w:vAlign w:val="center"/>
          </w:tcPr>
          <w:p w14:paraId="6F3C7491">
            <w:pPr>
              <w:keepNext w:val="0"/>
              <w:keepLines w:val="0"/>
              <w:widowControl/>
              <w:suppressLineNumbers w:val="0"/>
              <w:spacing w:before="0" w:beforeAutospacing="0" w:after="0" w:afterAutospacing="0" w:line="240" w:lineRule="atLeast"/>
              <w:ind w:left="0" w:right="0"/>
              <w:jc w:val="left"/>
              <w:rPr>
                <w:rFonts w:hint="eastAsia" w:ascii="宋体" w:hAnsi="宋体" w:eastAsia="宋体" w:cs="宋体"/>
                <w:color w:val="545454"/>
                <w:sz w:val="21"/>
                <w:szCs w:val="21"/>
              </w:rPr>
            </w:pPr>
            <w:r>
              <w:rPr>
                <w:rFonts w:hint="eastAsia" w:ascii="宋体" w:hAnsi="宋体" w:eastAsia="宋体" w:cs="宋体"/>
                <w:snapToGrid w:val="0"/>
                <w:color w:val="000000"/>
                <w:kern w:val="0"/>
                <w:sz w:val="21"/>
                <w:szCs w:val="21"/>
                <w:bdr w:val="none" w:color="auto" w:sz="0" w:space="0"/>
                <w:lang w:val="en-US" w:eastAsia="zh-CN" w:bidi="ar"/>
              </w:rPr>
              <w:t>来  源：</w:t>
            </w:r>
          </w:p>
        </w:tc>
        <w:tc>
          <w:tcPr>
            <w:tcW w:w="0" w:type="auto"/>
            <w:tcBorders>
              <w:top w:val="nil"/>
              <w:left w:val="nil"/>
              <w:bottom w:val="dashed" w:color="auto" w:sz="4" w:space="0"/>
              <w:right w:val="nil"/>
            </w:tcBorders>
            <w:shd w:val="clear"/>
            <w:tcMar>
              <w:top w:w="180" w:type="dxa"/>
              <w:left w:w="0" w:type="dxa"/>
              <w:bottom w:w="180" w:type="dxa"/>
              <w:right w:w="0" w:type="dxa"/>
            </w:tcMar>
            <w:vAlign w:val="center"/>
          </w:tcPr>
          <w:p w14:paraId="6B5E319A">
            <w:pPr>
              <w:keepNext w:val="0"/>
              <w:keepLines w:val="0"/>
              <w:widowControl/>
              <w:suppressLineNumbers w:val="0"/>
              <w:spacing w:before="0" w:beforeAutospacing="0" w:after="0" w:afterAutospacing="0" w:line="240" w:lineRule="atLeast"/>
              <w:ind w:left="0" w:right="0"/>
              <w:jc w:val="left"/>
              <w:rPr>
                <w:rFonts w:hint="eastAsia" w:ascii="宋体" w:hAnsi="宋体" w:eastAsia="宋体" w:cs="宋体"/>
                <w:color w:val="545454"/>
                <w:sz w:val="21"/>
                <w:szCs w:val="21"/>
              </w:rPr>
            </w:pPr>
            <w:r>
              <w:rPr>
                <w:rFonts w:hint="eastAsia" w:ascii="宋体" w:hAnsi="宋体" w:eastAsia="宋体" w:cs="宋体"/>
                <w:snapToGrid w:val="0"/>
                <w:color w:val="000000"/>
                <w:kern w:val="0"/>
                <w:sz w:val="21"/>
                <w:szCs w:val="21"/>
                <w:bdr w:val="none" w:color="auto" w:sz="0" w:space="0"/>
                <w:lang w:val="en-US" w:eastAsia="zh-CN" w:bidi="ar"/>
              </w:rPr>
              <w:t>教育部网站</w:t>
            </w:r>
          </w:p>
        </w:tc>
      </w:tr>
      <w:tr w14:paraId="3D3E1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1150" w:type="dxa"/>
            <w:tcBorders>
              <w:top w:val="nil"/>
              <w:left w:val="nil"/>
              <w:bottom w:val="dashed" w:color="auto" w:sz="4" w:space="0"/>
              <w:right w:val="nil"/>
            </w:tcBorders>
            <w:shd w:val="clear"/>
            <w:tcMar>
              <w:top w:w="180" w:type="dxa"/>
              <w:left w:w="0" w:type="dxa"/>
              <w:bottom w:w="180" w:type="dxa"/>
              <w:right w:w="0" w:type="dxa"/>
            </w:tcMar>
            <w:vAlign w:val="center"/>
          </w:tcPr>
          <w:p w14:paraId="12EE19E8">
            <w:pPr>
              <w:keepNext w:val="0"/>
              <w:keepLines w:val="0"/>
              <w:widowControl/>
              <w:suppressLineNumbers w:val="0"/>
              <w:spacing w:before="0" w:beforeAutospacing="0" w:after="0" w:afterAutospacing="0" w:line="240" w:lineRule="atLeast"/>
              <w:ind w:left="0" w:right="0"/>
              <w:jc w:val="left"/>
              <w:rPr>
                <w:rFonts w:hint="eastAsia" w:ascii="宋体" w:hAnsi="宋体" w:eastAsia="宋体" w:cs="宋体"/>
                <w:color w:val="545454"/>
                <w:sz w:val="21"/>
                <w:szCs w:val="21"/>
              </w:rPr>
            </w:pPr>
            <w:r>
              <w:rPr>
                <w:rFonts w:hint="eastAsia" w:ascii="宋体" w:hAnsi="宋体" w:eastAsia="宋体" w:cs="宋体"/>
                <w:snapToGrid w:val="0"/>
                <w:color w:val="000000"/>
                <w:kern w:val="0"/>
                <w:sz w:val="21"/>
                <w:szCs w:val="21"/>
                <w:bdr w:val="none" w:color="auto" w:sz="0" w:space="0"/>
                <w:lang w:val="en-US" w:eastAsia="zh-CN" w:bidi="ar"/>
              </w:rPr>
              <w:t>主题分类：</w:t>
            </w:r>
          </w:p>
        </w:tc>
        <w:tc>
          <w:tcPr>
            <w:tcW w:w="6040" w:type="dxa"/>
            <w:tcBorders>
              <w:top w:val="nil"/>
              <w:left w:val="nil"/>
              <w:bottom w:val="dashed" w:color="auto" w:sz="4" w:space="0"/>
              <w:right w:val="nil"/>
            </w:tcBorders>
            <w:shd w:val="clear"/>
            <w:tcMar>
              <w:top w:w="180" w:type="dxa"/>
              <w:left w:w="0" w:type="dxa"/>
              <w:bottom w:w="180" w:type="dxa"/>
              <w:right w:w="0" w:type="dxa"/>
            </w:tcMar>
            <w:vAlign w:val="center"/>
          </w:tcPr>
          <w:p w14:paraId="3633FA26">
            <w:pPr>
              <w:keepNext w:val="0"/>
              <w:keepLines w:val="0"/>
              <w:widowControl/>
              <w:suppressLineNumbers w:val="0"/>
              <w:spacing w:before="0" w:beforeAutospacing="0" w:after="0" w:afterAutospacing="0" w:line="240" w:lineRule="atLeast"/>
              <w:ind w:left="0" w:right="0"/>
              <w:jc w:val="left"/>
              <w:rPr>
                <w:rFonts w:hint="eastAsia" w:ascii="宋体" w:hAnsi="宋体" w:eastAsia="宋体" w:cs="宋体"/>
                <w:color w:val="545454"/>
                <w:sz w:val="21"/>
                <w:szCs w:val="21"/>
              </w:rPr>
            </w:pPr>
            <w:r>
              <w:rPr>
                <w:rFonts w:hint="eastAsia" w:ascii="宋体" w:hAnsi="宋体" w:eastAsia="宋体" w:cs="宋体"/>
                <w:snapToGrid w:val="0"/>
                <w:color w:val="000000"/>
                <w:kern w:val="0"/>
                <w:sz w:val="21"/>
                <w:szCs w:val="21"/>
                <w:bdr w:val="none" w:color="auto" w:sz="0" w:space="0"/>
                <w:lang w:val="en-US" w:eastAsia="zh-CN" w:bidi="ar"/>
              </w:rPr>
              <w:t>科技、教育\教育</w:t>
            </w:r>
          </w:p>
        </w:tc>
        <w:tc>
          <w:tcPr>
            <w:tcW w:w="1150" w:type="dxa"/>
            <w:tcBorders>
              <w:top w:val="nil"/>
              <w:left w:val="nil"/>
              <w:bottom w:val="dashed" w:color="auto" w:sz="4" w:space="0"/>
              <w:right w:val="nil"/>
            </w:tcBorders>
            <w:shd w:val="clear"/>
            <w:tcMar>
              <w:top w:w="180" w:type="dxa"/>
              <w:left w:w="0" w:type="dxa"/>
              <w:bottom w:w="180" w:type="dxa"/>
              <w:right w:w="0" w:type="dxa"/>
            </w:tcMar>
            <w:vAlign w:val="center"/>
          </w:tcPr>
          <w:p w14:paraId="1383FAB8">
            <w:pPr>
              <w:keepNext w:val="0"/>
              <w:keepLines w:val="0"/>
              <w:widowControl/>
              <w:suppressLineNumbers w:val="0"/>
              <w:spacing w:before="0" w:beforeAutospacing="0" w:after="0" w:afterAutospacing="0" w:line="240" w:lineRule="atLeast"/>
              <w:ind w:left="0" w:right="0"/>
              <w:jc w:val="left"/>
              <w:rPr>
                <w:rFonts w:hint="eastAsia" w:ascii="宋体" w:hAnsi="宋体" w:eastAsia="宋体" w:cs="宋体"/>
                <w:color w:val="545454"/>
                <w:sz w:val="21"/>
                <w:szCs w:val="21"/>
              </w:rPr>
            </w:pPr>
            <w:r>
              <w:rPr>
                <w:rFonts w:hint="eastAsia" w:ascii="宋体" w:hAnsi="宋体" w:eastAsia="宋体" w:cs="宋体"/>
                <w:snapToGrid w:val="0"/>
                <w:color w:val="000000"/>
                <w:kern w:val="0"/>
                <w:sz w:val="21"/>
                <w:szCs w:val="21"/>
                <w:bdr w:val="none" w:color="auto" w:sz="0" w:space="0"/>
                <w:lang w:val="en-US" w:eastAsia="zh-CN" w:bidi="ar"/>
              </w:rPr>
              <w:t>公文种类：</w:t>
            </w:r>
          </w:p>
        </w:tc>
        <w:tc>
          <w:tcPr>
            <w:tcW w:w="0" w:type="auto"/>
            <w:tcBorders>
              <w:top w:val="nil"/>
              <w:left w:val="nil"/>
              <w:bottom w:val="dashed" w:color="auto" w:sz="4" w:space="0"/>
              <w:right w:val="nil"/>
            </w:tcBorders>
            <w:shd w:val="clear"/>
            <w:tcMar>
              <w:top w:w="180" w:type="dxa"/>
              <w:left w:w="0" w:type="dxa"/>
              <w:bottom w:w="180" w:type="dxa"/>
              <w:right w:w="0" w:type="dxa"/>
            </w:tcMar>
            <w:vAlign w:val="center"/>
          </w:tcPr>
          <w:p w14:paraId="0D2E0F69">
            <w:pPr>
              <w:keepNext w:val="0"/>
              <w:keepLines w:val="0"/>
              <w:widowControl/>
              <w:suppressLineNumbers w:val="0"/>
              <w:spacing w:before="0" w:beforeAutospacing="0" w:after="0" w:afterAutospacing="0" w:line="240" w:lineRule="atLeast"/>
              <w:ind w:left="0" w:right="0"/>
              <w:jc w:val="left"/>
              <w:rPr>
                <w:rFonts w:hint="eastAsia" w:ascii="宋体" w:hAnsi="宋体" w:eastAsia="宋体" w:cs="宋体"/>
                <w:color w:val="545454"/>
                <w:sz w:val="21"/>
                <w:szCs w:val="21"/>
              </w:rPr>
            </w:pPr>
            <w:r>
              <w:rPr>
                <w:rFonts w:hint="eastAsia" w:ascii="宋体" w:hAnsi="宋体" w:eastAsia="宋体" w:cs="宋体"/>
                <w:snapToGrid w:val="0"/>
                <w:color w:val="000000"/>
                <w:kern w:val="0"/>
                <w:sz w:val="21"/>
                <w:szCs w:val="21"/>
                <w:bdr w:val="none" w:color="auto" w:sz="0" w:space="0"/>
                <w:lang w:val="en-US" w:eastAsia="zh-CN" w:bidi="ar"/>
              </w:rPr>
              <w:t>意见</w:t>
            </w:r>
          </w:p>
        </w:tc>
      </w:tr>
      <w:tr w14:paraId="56E09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15" w:type="dxa"/>
            <w:left w:w="15" w:type="dxa"/>
            <w:bottom w:w="15" w:type="dxa"/>
            <w:right w:w="15" w:type="dxa"/>
          </w:tblCellMar>
        </w:tblPrEx>
        <w:tc>
          <w:tcPr>
            <w:tcW w:w="1150" w:type="dxa"/>
            <w:tcBorders>
              <w:top w:val="nil"/>
              <w:left w:val="nil"/>
              <w:bottom w:val="nil"/>
              <w:right w:val="nil"/>
            </w:tcBorders>
            <w:shd w:val="clear"/>
            <w:tcMar>
              <w:top w:w="180" w:type="dxa"/>
              <w:left w:w="0" w:type="dxa"/>
              <w:bottom w:w="180" w:type="dxa"/>
              <w:right w:w="0" w:type="dxa"/>
            </w:tcMar>
            <w:vAlign w:val="center"/>
          </w:tcPr>
          <w:p w14:paraId="73AAC6F7">
            <w:pPr>
              <w:keepNext w:val="0"/>
              <w:keepLines w:val="0"/>
              <w:widowControl/>
              <w:suppressLineNumbers w:val="0"/>
              <w:spacing w:before="0" w:beforeAutospacing="0" w:after="0" w:afterAutospacing="0" w:line="240" w:lineRule="atLeast"/>
              <w:ind w:left="0" w:right="0"/>
              <w:jc w:val="left"/>
              <w:rPr>
                <w:rFonts w:hint="eastAsia" w:ascii="宋体" w:hAnsi="宋体" w:eastAsia="宋体" w:cs="宋体"/>
                <w:color w:val="545454"/>
                <w:sz w:val="21"/>
                <w:szCs w:val="21"/>
              </w:rPr>
            </w:pPr>
            <w:r>
              <w:rPr>
                <w:rFonts w:hint="eastAsia" w:ascii="宋体" w:hAnsi="宋体" w:eastAsia="宋体" w:cs="宋体"/>
                <w:snapToGrid w:val="0"/>
                <w:color w:val="000000"/>
                <w:kern w:val="0"/>
                <w:sz w:val="21"/>
                <w:szCs w:val="21"/>
                <w:bdr w:val="none" w:color="auto" w:sz="0" w:space="0"/>
                <w:lang w:val="en-US" w:eastAsia="zh-CN" w:bidi="ar"/>
              </w:rPr>
              <w:t>成文日期：</w:t>
            </w:r>
          </w:p>
        </w:tc>
        <w:tc>
          <w:tcPr>
            <w:tcW w:w="6040" w:type="dxa"/>
            <w:tcBorders>
              <w:top w:val="nil"/>
              <w:left w:val="nil"/>
              <w:bottom w:val="nil"/>
              <w:right w:val="nil"/>
            </w:tcBorders>
            <w:shd w:val="clear"/>
            <w:tcMar>
              <w:top w:w="180" w:type="dxa"/>
              <w:left w:w="0" w:type="dxa"/>
              <w:bottom w:w="180" w:type="dxa"/>
              <w:right w:w="0" w:type="dxa"/>
            </w:tcMar>
            <w:vAlign w:val="center"/>
          </w:tcPr>
          <w:p w14:paraId="1CF9E29A">
            <w:pPr>
              <w:keepNext w:val="0"/>
              <w:keepLines w:val="0"/>
              <w:widowControl/>
              <w:suppressLineNumbers w:val="0"/>
              <w:spacing w:before="0" w:beforeAutospacing="0" w:after="0" w:afterAutospacing="0" w:line="240" w:lineRule="atLeast"/>
              <w:ind w:left="0" w:right="0"/>
              <w:jc w:val="left"/>
              <w:rPr>
                <w:rFonts w:hint="eastAsia" w:ascii="宋体" w:hAnsi="宋体" w:eastAsia="宋体" w:cs="宋体"/>
                <w:color w:val="545454"/>
                <w:sz w:val="21"/>
                <w:szCs w:val="21"/>
              </w:rPr>
            </w:pPr>
            <w:r>
              <w:rPr>
                <w:rFonts w:hint="eastAsia" w:ascii="宋体" w:hAnsi="宋体" w:eastAsia="宋体" w:cs="宋体"/>
                <w:snapToGrid w:val="0"/>
                <w:color w:val="000000"/>
                <w:kern w:val="0"/>
                <w:sz w:val="21"/>
                <w:szCs w:val="21"/>
                <w:bdr w:val="none" w:color="auto" w:sz="0" w:space="0"/>
                <w:lang w:val="en-US" w:eastAsia="zh-CN" w:bidi="ar"/>
              </w:rPr>
              <w:t>2026年02月04日</w:t>
            </w:r>
          </w:p>
        </w:tc>
        <w:tc>
          <w:tcPr>
            <w:tcW w:w="0" w:type="auto"/>
            <w:tcBorders>
              <w:top w:val="nil"/>
              <w:left w:val="nil"/>
              <w:bottom w:val="nil"/>
              <w:right w:val="nil"/>
            </w:tcBorders>
            <w:shd w:val="clear"/>
            <w:vAlign w:val="center"/>
          </w:tcPr>
          <w:p w14:paraId="4824CCDF">
            <w:pPr>
              <w:rPr>
                <w:rFonts w:hint="eastAsia" w:ascii="宋体"/>
                <w:sz w:val="24"/>
                <w:szCs w:val="24"/>
              </w:rPr>
            </w:pPr>
          </w:p>
        </w:tc>
        <w:tc>
          <w:tcPr>
            <w:tcW w:w="0" w:type="auto"/>
            <w:tcBorders>
              <w:top w:val="nil"/>
              <w:left w:val="nil"/>
              <w:bottom w:val="nil"/>
              <w:right w:val="nil"/>
            </w:tcBorders>
            <w:shd w:val="clear"/>
            <w:vAlign w:val="center"/>
          </w:tcPr>
          <w:p w14:paraId="6CABB933">
            <w:pPr>
              <w:rPr>
                <w:rFonts w:hint="eastAsia" w:ascii="宋体"/>
                <w:sz w:val="24"/>
                <w:szCs w:val="24"/>
              </w:rPr>
            </w:pPr>
          </w:p>
        </w:tc>
      </w:tr>
    </w:tbl>
    <w:p w14:paraId="27704137">
      <w:pPr>
        <w:pStyle w:val="5"/>
        <w:keepNext w:val="0"/>
        <w:keepLines w:val="0"/>
        <w:widowControl/>
        <w:suppressLineNumbers w:val="0"/>
        <w:pBdr>
          <w:top w:val="none" w:color="auto" w:sz="0" w:space="0"/>
          <w:left w:val="none" w:color="auto" w:sz="0" w:space="0"/>
          <w:bottom w:val="none" w:color="auto" w:sz="0" w:space="0"/>
          <w:right w:val="none" w:color="auto" w:sz="0" w:space="0"/>
        </w:pBdr>
        <w:spacing w:after="150" w:afterAutospacing="0" w:line="300" w:lineRule="atLeast"/>
        <w:ind w:left="0" w:right="0" w:firstLine="0"/>
        <w:jc w:val="center"/>
      </w:pPr>
      <w:bookmarkStart w:id="0" w:name="_GoBack"/>
      <w:r>
        <w:rPr>
          <w:rStyle w:val="9"/>
          <w:rFonts w:hint="eastAsia" w:ascii="宋体" w:hAnsi="宋体" w:eastAsia="宋体" w:cs="宋体"/>
          <w:i w:val="0"/>
          <w:iCs w:val="0"/>
          <w:caps w:val="0"/>
          <w:color w:val="333333"/>
          <w:spacing w:val="0"/>
          <w:sz w:val="36"/>
          <w:szCs w:val="36"/>
          <w:bdr w:val="none" w:color="auto" w:sz="0" w:space="0"/>
          <w:shd w:val="clear" w:fill="FFFFFF"/>
        </w:rPr>
        <w:t>教育部关于深化职业教育教学关键要素改革的意见</w:t>
      </w:r>
      <w:r>
        <w:rPr>
          <w:rFonts w:ascii="楷体" w:hAnsi="楷体" w:eastAsia="楷体" w:cs="楷体"/>
          <w:i w:val="0"/>
          <w:iCs w:val="0"/>
          <w:caps w:val="0"/>
          <w:color w:val="333333"/>
          <w:spacing w:val="0"/>
          <w:sz w:val="24"/>
          <w:szCs w:val="24"/>
          <w:bdr w:val="none" w:color="auto" w:sz="0" w:space="0"/>
          <w:shd w:val="clear" w:fill="FFFFFF"/>
        </w:rPr>
        <w:br w:type="textWrapping"/>
      </w:r>
      <w:bookmarkEnd w:id="0"/>
      <w:r>
        <w:rPr>
          <w:rFonts w:hint="eastAsia" w:ascii="楷体" w:hAnsi="楷体" w:eastAsia="楷体" w:cs="楷体"/>
          <w:i w:val="0"/>
          <w:iCs w:val="0"/>
          <w:caps w:val="0"/>
          <w:color w:val="333333"/>
          <w:spacing w:val="0"/>
          <w:sz w:val="24"/>
          <w:szCs w:val="24"/>
          <w:bdr w:val="none" w:color="auto" w:sz="0" w:space="0"/>
          <w:shd w:val="clear" w:fill="FFFFFF"/>
        </w:rPr>
        <w:t>教职成〔2026〕1号</w:t>
      </w:r>
    </w:p>
    <w:p w14:paraId="3ACDE6C4">
      <w:pPr>
        <w:pStyle w:val="5"/>
        <w:keepNext w:val="0"/>
        <w:keepLines w:val="0"/>
        <w:widowControl/>
        <w:suppressLineNumbers w:val="0"/>
        <w:pBdr>
          <w:top w:val="none" w:color="auto" w:sz="0" w:space="0"/>
          <w:left w:val="none" w:color="auto" w:sz="0" w:space="0"/>
          <w:bottom w:val="none" w:color="auto" w:sz="0" w:space="0"/>
          <w:right w:val="none" w:color="auto" w:sz="0" w:space="0"/>
        </w:pBdr>
        <w:spacing w:after="150" w:afterAutospacing="0" w:line="300" w:lineRule="atLeast"/>
        <w:ind w:left="0" w:right="0" w:firstLine="0"/>
      </w:pPr>
      <w:r>
        <w:rPr>
          <w:rFonts w:hint="eastAsia" w:ascii="宋体" w:hAnsi="宋体" w:eastAsia="宋体" w:cs="宋体"/>
          <w:i w:val="0"/>
          <w:iCs w:val="0"/>
          <w:caps w:val="0"/>
          <w:color w:val="333333"/>
          <w:spacing w:val="0"/>
          <w:sz w:val="24"/>
          <w:szCs w:val="24"/>
          <w:bdr w:val="none" w:color="auto" w:sz="0" w:space="0"/>
          <w:shd w:val="clear" w:fill="FFFFFF"/>
        </w:rPr>
        <w:t>各省、自治区、直辖市教育厅（教委），新疆生产建设兵团教育局：</w:t>
      </w:r>
    </w:p>
    <w:p w14:paraId="717BEC25">
      <w:pPr>
        <w:pStyle w:val="5"/>
        <w:keepNext w:val="0"/>
        <w:keepLines w:val="0"/>
        <w:widowControl/>
        <w:suppressLineNumbers w:val="0"/>
        <w:pBdr>
          <w:top w:val="none" w:color="auto" w:sz="0" w:space="0"/>
          <w:left w:val="none" w:color="auto" w:sz="0" w:space="0"/>
          <w:bottom w:val="none" w:color="auto" w:sz="0" w:space="0"/>
          <w:right w:val="none" w:color="auto" w:sz="0" w:space="0"/>
        </w:pBdr>
        <w:spacing w:after="150" w:afterAutospacing="0" w:line="300" w:lineRule="atLeast"/>
        <w:ind w:left="0" w:right="0" w:firstLine="420"/>
      </w:pPr>
      <w:r>
        <w:rPr>
          <w:rFonts w:hint="eastAsia" w:ascii="宋体" w:hAnsi="宋体" w:eastAsia="宋体" w:cs="宋体"/>
          <w:i w:val="0"/>
          <w:iCs w:val="0"/>
          <w:caps w:val="0"/>
          <w:color w:val="333333"/>
          <w:spacing w:val="0"/>
          <w:sz w:val="24"/>
          <w:szCs w:val="24"/>
          <w:bdr w:val="none" w:color="auto" w:sz="0" w:space="0"/>
          <w:shd w:val="clear" w:fill="FFFFFF"/>
        </w:rPr>
        <w:t>职业教育专业、课程、教材、教师、实习实训等教学关键要素改革，是建设职业教育体系的基础工程，是培养高技能人才的关键举措。为贯彻落实《教育强国建设规划纲要（2024—2035年）》和《加快建设教育强国三年行动计划（2025—2027年）》，推动职业教育人才培养由单一知识传授向综合能力提升转变，促进职业教育系统跃升，有效实现办学能力高水平、产教融合高质量，现就深化职业教育教学关键要素改革提出如下意见。</w:t>
      </w:r>
    </w:p>
    <w:p w14:paraId="30A3E301">
      <w:pPr>
        <w:pStyle w:val="5"/>
        <w:keepNext w:val="0"/>
        <w:keepLines w:val="0"/>
        <w:widowControl/>
        <w:suppressLineNumbers w:val="0"/>
        <w:pBdr>
          <w:top w:val="none" w:color="auto" w:sz="0" w:space="0"/>
          <w:left w:val="none" w:color="auto" w:sz="0" w:space="0"/>
          <w:bottom w:val="none" w:color="auto" w:sz="0" w:space="0"/>
          <w:right w:val="none" w:color="auto" w:sz="0" w:space="0"/>
        </w:pBdr>
        <w:spacing w:after="150" w:afterAutospacing="0" w:line="300" w:lineRule="atLeast"/>
        <w:ind w:left="0" w:right="0" w:firstLine="420"/>
      </w:pPr>
      <w:r>
        <w:rPr>
          <w:rStyle w:val="9"/>
          <w:rFonts w:hint="eastAsia" w:ascii="宋体" w:hAnsi="宋体" w:eastAsia="宋体" w:cs="宋体"/>
          <w:i w:val="0"/>
          <w:iCs w:val="0"/>
          <w:caps w:val="0"/>
          <w:color w:val="333333"/>
          <w:spacing w:val="0"/>
          <w:sz w:val="24"/>
          <w:szCs w:val="24"/>
          <w:bdr w:val="none" w:color="auto" w:sz="0" w:space="0"/>
          <w:shd w:val="clear" w:fill="FFFFFF"/>
        </w:rPr>
        <w:t>一、总体要求</w:t>
      </w:r>
    </w:p>
    <w:p w14:paraId="57D88E60">
      <w:pPr>
        <w:pStyle w:val="5"/>
        <w:keepNext w:val="0"/>
        <w:keepLines w:val="0"/>
        <w:widowControl/>
        <w:suppressLineNumbers w:val="0"/>
        <w:pBdr>
          <w:top w:val="none" w:color="auto" w:sz="0" w:space="0"/>
          <w:left w:val="none" w:color="auto" w:sz="0" w:space="0"/>
          <w:bottom w:val="none" w:color="auto" w:sz="0" w:space="0"/>
          <w:right w:val="none" w:color="auto" w:sz="0" w:space="0"/>
        </w:pBdr>
        <w:spacing w:after="150" w:afterAutospacing="0" w:line="300" w:lineRule="atLeast"/>
        <w:ind w:left="0" w:right="0" w:firstLine="420"/>
      </w:pPr>
      <w:r>
        <w:rPr>
          <w:rFonts w:hint="eastAsia" w:ascii="宋体" w:hAnsi="宋体" w:eastAsia="宋体" w:cs="宋体"/>
          <w:i w:val="0"/>
          <w:iCs w:val="0"/>
          <w:caps w:val="0"/>
          <w:color w:val="333333"/>
          <w:spacing w:val="0"/>
          <w:sz w:val="24"/>
          <w:szCs w:val="24"/>
          <w:bdr w:val="none" w:color="auto" w:sz="0" w:space="0"/>
          <w:shd w:val="clear" w:fill="FFFFFF"/>
        </w:rPr>
        <w:t>以习近平新时代中国特色社会主义思想为指导，深入贯彻党的二十大和二十届二中、三中、四中全会及全国教育大会精神，落实立德树人根本任务，聚焦国家战略、区域发展、产业升级、技术迭代和人的全面发展，牢牢把握高技能人才培养的功能定位，夯实基础、全面发力，深化职业教育教学关键要素改革，系统重构教育教学底层逻辑，健全政府、行业、企业、学校合作机制，充分发挥教学关键要素改革在建设职业教育体系中的基础性、导向性、引领性作用，聚焦破解职业教育与行业产业脱节、办学相对封闭、适应性和匹配度不高等问题，推动校企合作办学、合作育人、合作就业、合作发展，在产业一线源源不断培养大国工匠、能工巧匠和高技能人才，为中国式现代化建设提供有力支撑。</w:t>
      </w:r>
    </w:p>
    <w:p w14:paraId="4717CFEC">
      <w:pPr>
        <w:pStyle w:val="5"/>
        <w:keepNext w:val="0"/>
        <w:keepLines w:val="0"/>
        <w:widowControl/>
        <w:suppressLineNumbers w:val="0"/>
        <w:pBdr>
          <w:top w:val="none" w:color="auto" w:sz="0" w:space="0"/>
          <w:left w:val="none" w:color="auto" w:sz="0" w:space="0"/>
          <w:bottom w:val="none" w:color="auto" w:sz="0" w:space="0"/>
          <w:right w:val="none" w:color="auto" w:sz="0" w:space="0"/>
        </w:pBdr>
        <w:spacing w:after="150" w:afterAutospacing="0" w:line="300" w:lineRule="atLeast"/>
        <w:ind w:left="0" w:right="0" w:firstLine="420"/>
      </w:pPr>
      <w:r>
        <w:rPr>
          <w:rFonts w:hint="eastAsia" w:ascii="宋体" w:hAnsi="宋体" w:eastAsia="宋体" w:cs="宋体"/>
          <w:i w:val="0"/>
          <w:iCs w:val="0"/>
          <w:caps w:val="0"/>
          <w:color w:val="333333"/>
          <w:spacing w:val="0"/>
          <w:sz w:val="24"/>
          <w:szCs w:val="24"/>
          <w:bdr w:val="none" w:color="auto" w:sz="0" w:space="0"/>
          <w:shd w:val="clear" w:fill="FFFFFF"/>
        </w:rPr>
        <w:t>工作中要做到：坚持需求牵引，以产定教、以产引教、以产改教、以产促教；坚持集群推进，校校联合、企企联手、校企对接，全面实施高技能人才集群培养计划；坚持联动改革，根据产业环节、生产流程、职业逻辑，全要素、全过程、系统性推进改革；坚持标准引领，按照行业标准、企业标准、岗位标准确定教育教学标准。</w:t>
      </w:r>
    </w:p>
    <w:p w14:paraId="6380600B">
      <w:pPr>
        <w:pStyle w:val="5"/>
        <w:keepNext w:val="0"/>
        <w:keepLines w:val="0"/>
        <w:widowControl/>
        <w:suppressLineNumbers w:val="0"/>
        <w:pBdr>
          <w:top w:val="none" w:color="auto" w:sz="0" w:space="0"/>
          <w:left w:val="none" w:color="auto" w:sz="0" w:space="0"/>
          <w:bottom w:val="none" w:color="auto" w:sz="0" w:space="0"/>
          <w:right w:val="none" w:color="auto" w:sz="0" w:space="0"/>
        </w:pBdr>
        <w:spacing w:after="150" w:afterAutospacing="0" w:line="300" w:lineRule="atLeast"/>
        <w:ind w:left="0" w:right="0" w:firstLine="420"/>
      </w:pPr>
      <w:r>
        <w:rPr>
          <w:rFonts w:hint="eastAsia" w:ascii="宋体" w:hAnsi="宋体" w:eastAsia="宋体" w:cs="宋体"/>
          <w:i w:val="0"/>
          <w:iCs w:val="0"/>
          <w:caps w:val="0"/>
          <w:color w:val="333333"/>
          <w:spacing w:val="0"/>
          <w:sz w:val="24"/>
          <w:szCs w:val="24"/>
          <w:bdr w:val="none" w:color="auto" w:sz="0" w:space="0"/>
          <w:shd w:val="clear" w:fill="FFFFFF"/>
        </w:rPr>
        <w:t>到2027年，建成职业教育专业、课程、教材、教师、实习实训先进标准体系，形成一套可复制可推广的教学改革新范式，打造一大批高技能人才培养高地。到2035年，建立具有中国特色的职业教育实践模式，推动职业学校办学形态发生格局性变化，职业教育服务国家战略和产业发展能力显著增强。</w:t>
      </w:r>
    </w:p>
    <w:p w14:paraId="67D0FD5E">
      <w:pPr>
        <w:pStyle w:val="5"/>
        <w:keepNext w:val="0"/>
        <w:keepLines w:val="0"/>
        <w:widowControl/>
        <w:suppressLineNumbers w:val="0"/>
        <w:pBdr>
          <w:top w:val="none" w:color="auto" w:sz="0" w:space="0"/>
          <w:left w:val="none" w:color="auto" w:sz="0" w:space="0"/>
          <w:bottom w:val="none" w:color="auto" w:sz="0" w:space="0"/>
          <w:right w:val="none" w:color="auto" w:sz="0" w:space="0"/>
        </w:pBdr>
        <w:spacing w:after="150" w:afterAutospacing="0" w:line="300" w:lineRule="atLeast"/>
        <w:ind w:left="0" w:right="0" w:firstLine="420"/>
      </w:pPr>
      <w:r>
        <w:rPr>
          <w:rStyle w:val="9"/>
          <w:rFonts w:hint="eastAsia" w:ascii="宋体" w:hAnsi="宋体" w:eastAsia="宋体" w:cs="宋体"/>
          <w:i w:val="0"/>
          <w:iCs w:val="0"/>
          <w:caps w:val="0"/>
          <w:color w:val="333333"/>
          <w:spacing w:val="0"/>
          <w:sz w:val="24"/>
          <w:szCs w:val="24"/>
          <w:bdr w:val="none" w:color="auto" w:sz="0" w:space="0"/>
          <w:shd w:val="clear" w:fill="FFFFFF"/>
        </w:rPr>
        <w:t>二、主要任务</w:t>
      </w:r>
    </w:p>
    <w:p w14:paraId="08F95B1D">
      <w:pPr>
        <w:pStyle w:val="5"/>
        <w:keepNext w:val="0"/>
        <w:keepLines w:val="0"/>
        <w:widowControl/>
        <w:suppressLineNumbers w:val="0"/>
        <w:pBdr>
          <w:top w:val="none" w:color="auto" w:sz="0" w:space="0"/>
          <w:left w:val="none" w:color="auto" w:sz="0" w:space="0"/>
          <w:bottom w:val="none" w:color="auto" w:sz="0" w:space="0"/>
          <w:right w:val="none" w:color="auto" w:sz="0" w:space="0"/>
        </w:pBdr>
        <w:spacing w:after="150" w:afterAutospacing="0" w:line="300" w:lineRule="atLeast"/>
        <w:ind w:left="0" w:right="0" w:firstLine="420"/>
      </w:pPr>
      <w:r>
        <w:rPr>
          <w:rFonts w:hint="eastAsia" w:ascii="宋体" w:hAnsi="宋体" w:eastAsia="宋体" w:cs="宋体"/>
          <w:i w:val="0"/>
          <w:iCs w:val="0"/>
          <w:caps w:val="0"/>
          <w:color w:val="333333"/>
          <w:spacing w:val="0"/>
          <w:sz w:val="24"/>
          <w:szCs w:val="24"/>
          <w:bdr w:val="none" w:color="auto" w:sz="0" w:space="0"/>
          <w:shd w:val="clear" w:fill="FFFFFF"/>
        </w:rPr>
        <w:t>（一）动态调整专业设置。聚焦高技能人才培养目标，加大专业设置调整优化的统筹协调力度，严格落实“红黄牌”提示制度。利用大数据和人工智能精准预测关键领域人才培养供需情况，为专业动态调整提供科学依据。探索建立新专业增设快速响应通道，面向新兴产业和未来产业，重点增设低空经济、人工智能、高端装备、城市更新、民生紧缺等领域新专业。及时裁撤办学条件弱、水平差、就业率低的专业点，避免专业布局“大而散”“弱而全”。围绕智能化、绿色化、融合化方向，改造升级现有专业，持续推进专业人才培养方案的迭代更新。鼓励和支持地方因地制宜设置区域特色专业。鼓励校企联合开发、申报国家专业教学标准，特色鲜明的专业可以括号形式冠以学校、企业或地区名称。推动建立省级部门间会商机制，定期发布重点紧缺专业、改造升级专业、限制撤销专业“三张清单”。</w:t>
      </w:r>
    </w:p>
    <w:p w14:paraId="3C76A427">
      <w:pPr>
        <w:pStyle w:val="5"/>
        <w:keepNext w:val="0"/>
        <w:keepLines w:val="0"/>
        <w:widowControl/>
        <w:suppressLineNumbers w:val="0"/>
        <w:pBdr>
          <w:top w:val="none" w:color="auto" w:sz="0" w:space="0"/>
          <w:left w:val="none" w:color="auto" w:sz="0" w:space="0"/>
          <w:bottom w:val="none" w:color="auto" w:sz="0" w:space="0"/>
          <w:right w:val="none" w:color="auto" w:sz="0" w:space="0"/>
        </w:pBdr>
        <w:spacing w:after="150" w:afterAutospacing="0" w:line="300" w:lineRule="atLeast"/>
        <w:ind w:left="0" w:right="0" w:firstLine="420"/>
      </w:pPr>
      <w:r>
        <w:rPr>
          <w:rFonts w:hint="eastAsia" w:ascii="宋体" w:hAnsi="宋体" w:eastAsia="宋体" w:cs="宋体"/>
          <w:i w:val="0"/>
          <w:iCs w:val="0"/>
          <w:caps w:val="0"/>
          <w:color w:val="333333"/>
          <w:spacing w:val="0"/>
          <w:sz w:val="24"/>
          <w:szCs w:val="24"/>
          <w:bdr w:val="none" w:color="auto" w:sz="0" w:space="0"/>
          <w:shd w:val="clear" w:fill="FFFFFF"/>
        </w:rPr>
        <w:t>各省域现代职业教育体系建设省份（以下简称试点省份）要根据区域重点产业发展规划编制专业设置规划，每年发布职业教育专业设置与产业发展匹配分析报告。各市域产教联合体（以下简称联合体）、行业产教融合共同体（以下简称共同体）要围绕本区域、行业产业发展趋势，研究发布技能人才需求预测与专业设置指导报告。</w:t>
      </w:r>
    </w:p>
    <w:p w14:paraId="76871AE8">
      <w:pPr>
        <w:pStyle w:val="5"/>
        <w:keepNext w:val="0"/>
        <w:keepLines w:val="0"/>
        <w:widowControl/>
        <w:suppressLineNumbers w:val="0"/>
        <w:pBdr>
          <w:top w:val="none" w:color="auto" w:sz="0" w:space="0"/>
          <w:left w:val="none" w:color="auto" w:sz="0" w:space="0"/>
          <w:bottom w:val="none" w:color="auto" w:sz="0" w:space="0"/>
          <w:right w:val="none" w:color="auto" w:sz="0" w:space="0"/>
        </w:pBdr>
        <w:spacing w:after="150" w:afterAutospacing="0" w:line="300" w:lineRule="atLeast"/>
        <w:ind w:left="0" w:right="0" w:firstLine="420"/>
      </w:pPr>
      <w:r>
        <w:rPr>
          <w:rFonts w:hint="eastAsia" w:ascii="宋体" w:hAnsi="宋体" w:eastAsia="宋体" w:cs="宋体"/>
          <w:i w:val="0"/>
          <w:iCs w:val="0"/>
          <w:caps w:val="0"/>
          <w:color w:val="333333"/>
          <w:spacing w:val="0"/>
          <w:sz w:val="24"/>
          <w:szCs w:val="24"/>
          <w:bdr w:val="none" w:color="auto" w:sz="0" w:space="0"/>
          <w:shd w:val="clear" w:fill="FFFFFF"/>
        </w:rPr>
        <w:t>（二）科学设计课程组合。紧跟产业升级和技术迭代动向，及时将最新标准、技术和工艺等融入专业课程。分别对应新增专业、升级改造专业的目标定位和专业内涵，科学确定新建课程、升级改造课程清单和内容。对接头部企业典型生产任务，开展职业分析、跟岗挖掘，分解梳理相应的技能点、知识点，绘制课程能力图谱，完善专业课程体系。推进课程综合化、模块化和项目化建设，科学确定各专业课程间的逻辑关系、能力要求。深入挖掘体现行业特色与职业特点的思政元素，建设课程思政元素资源库与教学案例库。加强STEM教育、文化基础、人工智能等方面通识课程设置与建设，艺术、管理、服务等领域专业要增设工程技术等方面课程，生产、制造、工程等领域专业要增设人文社科等方面课程。持续建设国家精品课程。</w:t>
      </w:r>
    </w:p>
    <w:p w14:paraId="64ACAC49">
      <w:pPr>
        <w:pStyle w:val="5"/>
        <w:keepNext w:val="0"/>
        <w:keepLines w:val="0"/>
        <w:widowControl/>
        <w:suppressLineNumbers w:val="0"/>
        <w:pBdr>
          <w:top w:val="none" w:color="auto" w:sz="0" w:space="0"/>
          <w:left w:val="none" w:color="auto" w:sz="0" w:space="0"/>
          <w:bottom w:val="none" w:color="auto" w:sz="0" w:space="0"/>
          <w:right w:val="none" w:color="auto" w:sz="0" w:space="0"/>
        </w:pBdr>
        <w:spacing w:after="150" w:afterAutospacing="0" w:line="300" w:lineRule="atLeast"/>
        <w:ind w:left="0" w:right="0" w:firstLine="420"/>
      </w:pPr>
      <w:r>
        <w:rPr>
          <w:rFonts w:hint="eastAsia" w:ascii="宋体" w:hAnsi="宋体" w:eastAsia="宋体" w:cs="宋体"/>
          <w:i w:val="0"/>
          <w:iCs w:val="0"/>
          <w:caps w:val="0"/>
          <w:color w:val="333333"/>
          <w:spacing w:val="0"/>
          <w:sz w:val="24"/>
          <w:szCs w:val="24"/>
          <w:bdr w:val="none" w:color="auto" w:sz="0" w:space="0"/>
          <w:shd w:val="clear" w:fill="FFFFFF"/>
        </w:rPr>
        <w:t>试点省份要组织开发面向区域重点产业的紧缺课程、特色课程。联合体、共同体、“双高建设计划”学校要分别组建课程开发机构，汇聚一批企业岗位培训课程，筛选、重组和优化课程内容，有序科学转化为学校专业课程。</w:t>
      </w:r>
    </w:p>
    <w:p w14:paraId="3F94D55C">
      <w:pPr>
        <w:pStyle w:val="5"/>
        <w:keepNext w:val="0"/>
        <w:keepLines w:val="0"/>
        <w:widowControl/>
        <w:suppressLineNumbers w:val="0"/>
        <w:pBdr>
          <w:top w:val="none" w:color="auto" w:sz="0" w:space="0"/>
          <w:left w:val="none" w:color="auto" w:sz="0" w:space="0"/>
          <w:bottom w:val="none" w:color="auto" w:sz="0" w:space="0"/>
          <w:right w:val="none" w:color="auto" w:sz="0" w:space="0"/>
        </w:pBdr>
        <w:spacing w:after="150" w:afterAutospacing="0" w:line="300" w:lineRule="atLeast"/>
        <w:ind w:left="0" w:right="0" w:firstLine="420"/>
      </w:pPr>
      <w:r>
        <w:rPr>
          <w:rFonts w:hint="eastAsia" w:ascii="宋体" w:hAnsi="宋体" w:eastAsia="宋体" w:cs="宋体"/>
          <w:i w:val="0"/>
          <w:iCs w:val="0"/>
          <w:caps w:val="0"/>
          <w:color w:val="333333"/>
          <w:spacing w:val="0"/>
          <w:sz w:val="24"/>
          <w:szCs w:val="24"/>
          <w:bdr w:val="none" w:color="auto" w:sz="0" w:space="0"/>
          <w:shd w:val="clear" w:fill="FFFFFF"/>
        </w:rPr>
        <w:t>（三）优化教材呈现形式。健全学校、企业、行业共同开发建设的组织机制，实现三方共编、共享、共用、共推。建立企业技术专家、学校专业带头人、行业权威专家“三主编”教材开发机制。及时将新方法、新技术、新工艺、新标准、新装备引入教材内容。持续推进教材形态多样化建设，积极开发活页式教材、工作手册式教材、技术规范卡片、口袋书等。探索开发数字教材，实现生产装备、技能、工艺和场景的数字化提取、呈现和位移，逐步建立职业教育数字教材开发、使用和管理的标准制度体系。加快职普融通、贯通培养、职业本科、职教出海等方面教材建设，引进境外优质教材。行业职业教育教学指导委员会要围绕本行业产业升级和技术迭代需要，组织开发本行业领域紧缺教材。面向职业学校学生、应用型高校学生、企业培训职工、海外项目学员、社会学习爱好者等5类人群，加强职业教育优质教材的推广与使用。</w:t>
      </w:r>
    </w:p>
    <w:p w14:paraId="3EC71414">
      <w:pPr>
        <w:pStyle w:val="5"/>
        <w:keepNext w:val="0"/>
        <w:keepLines w:val="0"/>
        <w:widowControl/>
        <w:suppressLineNumbers w:val="0"/>
        <w:pBdr>
          <w:top w:val="none" w:color="auto" w:sz="0" w:space="0"/>
          <w:left w:val="none" w:color="auto" w:sz="0" w:space="0"/>
          <w:bottom w:val="none" w:color="auto" w:sz="0" w:space="0"/>
          <w:right w:val="none" w:color="auto" w:sz="0" w:space="0"/>
        </w:pBdr>
        <w:spacing w:after="150" w:afterAutospacing="0" w:line="300" w:lineRule="atLeast"/>
        <w:ind w:left="0" w:right="0" w:firstLine="420"/>
      </w:pPr>
      <w:r>
        <w:rPr>
          <w:rFonts w:hint="eastAsia" w:ascii="宋体" w:hAnsi="宋体" w:eastAsia="宋体" w:cs="宋体"/>
          <w:i w:val="0"/>
          <w:iCs w:val="0"/>
          <w:caps w:val="0"/>
          <w:color w:val="333333"/>
          <w:spacing w:val="0"/>
          <w:sz w:val="24"/>
          <w:szCs w:val="24"/>
          <w:bdr w:val="none" w:color="auto" w:sz="0" w:space="0"/>
          <w:shd w:val="clear" w:fill="FFFFFF"/>
        </w:rPr>
        <w:t>联合体、共同体、“双高建设计划”学校要组建优质教材开发团队，广泛吸收行业领军人才、企业一线技能大师，校企联合开发一批项目化、案例化、模块化教材，配套建设工作计划书、质量检测手册、工艺文件清单等资料。</w:t>
      </w:r>
    </w:p>
    <w:p w14:paraId="16192CB9">
      <w:pPr>
        <w:pStyle w:val="5"/>
        <w:keepNext w:val="0"/>
        <w:keepLines w:val="0"/>
        <w:widowControl/>
        <w:suppressLineNumbers w:val="0"/>
        <w:pBdr>
          <w:top w:val="none" w:color="auto" w:sz="0" w:space="0"/>
          <w:left w:val="none" w:color="auto" w:sz="0" w:space="0"/>
          <w:bottom w:val="none" w:color="auto" w:sz="0" w:space="0"/>
          <w:right w:val="none" w:color="auto" w:sz="0" w:space="0"/>
        </w:pBdr>
        <w:spacing w:after="150" w:afterAutospacing="0" w:line="300" w:lineRule="atLeast"/>
        <w:ind w:left="0" w:right="0" w:firstLine="420"/>
      </w:pPr>
      <w:r>
        <w:rPr>
          <w:rFonts w:hint="eastAsia" w:ascii="宋体" w:hAnsi="宋体" w:eastAsia="宋体" w:cs="宋体"/>
          <w:i w:val="0"/>
          <w:iCs w:val="0"/>
          <w:caps w:val="0"/>
          <w:color w:val="333333"/>
          <w:spacing w:val="0"/>
          <w:sz w:val="24"/>
          <w:szCs w:val="24"/>
          <w:bdr w:val="none" w:color="auto" w:sz="0" w:space="0"/>
          <w:shd w:val="clear" w:fill="FFFFFF"/>
        </w:rPr>
        <w:t>（四）细化教师能力清单。根据课程、教材改革新要求，从专业理论、实践能力、教学能力、教研能力等方面细分细化教师能力，研究制定教师能力清单，为精准实施教师培养培训提供基准。支持校企共建教师教学发展中心，对照教师能力清单，开展教师教学能力评价和专项培训，持续提升教师专业化发展水平。深入开展听课、评课、比课等活动，完善教师教学理念、教学设计、教学方法、教学组织实施等方面的教学评价体系。推动教师常态化参与本行业领域研讨、交流、培训和技术认证，深度参与企业技术改造、工艺改进、产品升级，着力提升教师服务区域经济社会、产业发展能力。健全教师与企业人才“双向流动”机制，建立产业导师制度，广泛引进大国工匠、技术能手入校任教。组织开发一批教师数字化教学能力培训资源，强化教师数字技术应用培训。</w:t>
      </w:r>
    </w:p>
    <w:p w14:paraId="2AE73728">
      <w:pPr>
        <w:pStyle w:val="5"/>
        <w:keepNext w:val="0"/>
        <w:keepLines w:val="0"/>
        <w:widowControl/>
        <w:suppressLineNumbers w:val="0"/>
        <w:pBdr>
          <w:top w:val="none" w:color="auto" w:sz="0" w:space="0"/>
          <w:left w:val="none" w:color="auto" w:sz="0" w:space="0"/>
          <w:bottom w:val="none" w:color="auto" w:sz="0" w:space="0"/>
          <w:right w:val="none" w:color="auto" w:sz="0" w:space="0"/>
        </w:pBdr>
        <w:spacing w:after="150" w:afterAutospacing="0" w:line="300" w:lineRule="atLeast"/>
        <w:ind w:left="0" w:right="0" w:firstLine="420"/>
      </w:pPr>
      <w:r>
        <w:rPr>
          <w:rFonts w:hint="eastAsia" w:ascii="宋体" w:hAnsi="宋体" w:eastAsia="宋体" w:cs="宋体"/>
          <w:i w:val="0"/>
          <w:iCs w:val="0"/>
          <w:caps w:val="0"/>
          <w:color w:val="333333"/>
          <w:spacing w:val="0"/>
          <w:sz w:val="24"/>
          <w:szCs w:val="24"/>
          <w:bdr w:val="none" w:color="auto" w:sz="0" w:space="0"/>
          <w:shd w:val="clear" w:fill="FFFFFF"/>
        </w:rPr>
        <w:t>试点省份要探索建立企业人员，特别是大国工匠、技能大师等具备教学经验的技术能手教师资格认定机制，并纳入教师系列职称评定范围。联合体、共同体要建立行业企业人员入校任教激励、评价与考核制度，将其任教情况与待遇、晋升挂钩。</w:t>
      </w:r>
    </w:p>
    <w:p w14:paraId="0DA296AF">
      <w:pPr>
        <w:pStyle w:val="5"/>
        <w:keepNext w:val="0"/>
        <w:keepLines w:val="0"/>
        <w:widowControl/>
        <w:suppressLineNumbers w:val="0"/>
        <w:pBdr>
          <w:top w:val="none" w:color="auto" w:sz="0" w:space="0"/>
          <w:left w:val="none" w:color="auto" w:sz="0" w:space="0"/>
          <w:bottom w:val="none" w:color="auto" w:sz="0" w:space="0"/>
          <w:right w:val="none" w:color="auto" w:sz="0" w:space="0"/>
        </w:pBdr>
        <w:spacing w:after="150" w:afterAutospacing="0" w:line="300" w:lineRule="atLeast"/>
        <w:ind w:left="0" w:right="0" w:firstLine="420"/>
      </w:pPr>
      <w:r>
        <w:rPr>
          <w:rFonts w:hint="eastAsia" w:ascii="宋体" w:hAnsi="宋体" w:eastAsia="宋体" w:cs="宋体"/>
          <w:i w:val="0"/>
          <w:iCs w:val="0"/>
          <w:caps w:val="0"/>
          <w:color w:val="333333"/>
          <w:spacing w:val="0"/>
          <w:sz w:val="24"/>
          <w:szCs w:val="24"/>
          <w:bdr w:val="none" w:color="auto" w:sz="0" w:space="0"/>
          <w:shd w:val="clear" w:fill="FFFFFF"/>
        </w:rPr>
        <w:t>（五）建设产教融合实习实训基地。校企双向赋能，通过企业委托建设、校企共建、集群联建等方式，在学校、企业、产业园区等规划建设一批产教融合实习实训基地，推动学生在生产一线、真实环境中练就真本领。支持学校探索通过股份制、混合所有制以及委托生产线、承担生产任务等模式，升级改造和建设一批实习实训基地。加强虚拟仿真实训基地建设。对应新专业建设所必备的实训场所、内容和条件等要求，组织研制实习实训基地建设标准、管理标准、实践项目开发标准、技能训练标准和考核评价标准。统筹用好预算内投资、地方政府专项债券、超长期特别国债等各渠道资金，打造一批开放型区域产教融合实践中心。</w:t>
      </w:r>
    </w:p>
    <w:p w14:paraId="5D82F7D1">
      <w:pPr>
        <w:pStyle w:val="5"/>
        <w:keepNext w:val="0"/>
        <w:keepLines w:val="0"/>
        <w:widowControl/>
        <w:suppressLineNumbers w:val="0"/>
        <w:pBdr>
          <w:top w:val="none" w:color="auto" w:sz="0" w:space="0"/>
          <w:left w:val="none" w:color="auto" w:sz="0" w:space="0"/>
          <w:bottom w:val="none" w:color="auto" w:sz="0" w:space="0"/>
          <w:right w:val="none" w:color="auto" w:sz="0" w:space="0"/>
        </w:pBdr>
        <w:spacing w:after="150" w:afterAutospacing="0" w:line="300" w:lineRule="atLeast"/>
        <w:ind w:left="0" w:right="0" w:firstLine="420"/>
      </w:pPr>
      <w:r>
        <w:rPr>
          <w:rFonts w:hint="eastAsia" w:ascii="宋体" w:hAnsi="宋体" w:eastAsia="宋体" w:cs="宋体"/>
          <w:i w:val="0"/>
          <w:iCs w:val="0"/>
          <w:caps w:val="0"/>
          <w:color w:val="333333"/>
          <w:spacing w:val="0"/>
          <w:sz w:val="24"/>
          <w:szCs w:val="24"/>
          <w:bdr w:val="none" w:color="auto" w:sz="0" w:space="0"/>
          <w:shd w:val="clear" w:fill="FFFFFF"/>
        </w:rPr>
        <w:t>试点省份要加强生产性实习实训岗位的科学统筹，组织本地区职业学校对校内实训基地进行升级改造，吸引行业企业深度参与校内实训基地建设。联合体要聚焦关键技术领域，在产业园区内建设一批产教融合实践中心。共同体要围绕产业链、供应链布局，分区域建设一批实习实训基地。</w:t>
      </w:r>
    </w:p>
    <w:p w14:paraId="0DABE8CD">
      <w:pPr>
        <w:pStyle w:val="5"/>
        <w:keepNext w:val="0"/>
        <w:keepLines w:val="0"/>
        <w:widowControl/>
        <w:suppressLineNumbers w:val="0"/>
        <w:pBdr>
          <w:top w:val="none" w:color="auto" w:sz="0" w:space="0"/>
          <w:left w:val="none" w:color="auto" w:sz="0" w:space="0"/>
          <w:bottom w:val="none" w:color="auto" w:sz="0" w:space="0"/>
          <w:right w:val="none" w:color="auto" w:sz="0" w:space="0"/>
        </w:pBdr>
        <w:spacing w:after="150" w:afterAutospacing="0" w:line="300" w:lineRule="atLeast"/>
        <w:ind w:left="0" w:right="0" w:firstLine="420"/>
      </w:pPr>
      <w:r>
        <w:rPr>
          <w:rStyle w:val="9"/>
          <w:rFonts w:hint="eastAsia" w:ascii="宋体" w:hAnsi="宋体" w:eastAsia="宋体" w:cs="宋体"/>
          <w:i w:val="0"/>
          <w:iCs w:val="0"/>
          <w:caps w:val="0"/>
          <w:color w:val="333333"/>
          <w:spacing w:val="0"/>
          <w:sz w:val="24"/>
          <w:szCs w:val="24"/>
          <w:bdr w:val="none" w:color="auto" w:sz="0" w:space="0"/>
          <w:shd w:val="clear" w:fill="FFFFFF"/>
        </w:rPr>
        <w:t>三、完善改革机制</w:t>
      </w:r>
    </w:p>
    <w:p w14:paraId="416A181F">
      <w:pPr>
        <w:pStyle w:val="5"/>
        <w:keepNext w:val="0"/>
        <w:keepLines w:val="0"/>
        <w:widowControl/>
        <w:suppressLineNumbers w:val="0"/>
        <w:pBdr>
          <w:top w:val="none" w:color="auto" w:sz="0" w:space="0"/>
          <w:left w:val="none" w:color="auto" w:sz="0" w:space="0"/>
          <w:bottom w:val="none" w:color="auto" w:sz="0" w:space="0"/>
          <w:right w:val="none" w:color="auto" w:sz="0" w:space="0"/>
        </w:pBdr>
        <w:spacing w:after="150" w:afterAutospacing="0" w:line="300" w:lineRule="atLeast"/>
        <w:ind w:left="0" w:right="0" w:firstLine="420"/>
      </w:pPr>
      <w:r>
        <w:rPr>
          <w:rFonts w:hint="eastAsia" w:ascii="宋体" w:hAnsi="宋体" w:eastAsia="宋体" w:cs="宋体"/>
          <w:i w:val="0"/>
          <w:iCs w:val="0"/>
          <w:caps w:val="0"/>
          <w:color w:val="333333"/>
          <w:spacing w:val="0"/>
          <w:sz w:val="24"/>
          <w:szCs w:val="24"/>
          <w:bdr w:val="none" w:color="auto" w:sz="0" w:space="0"/>
          <w:shd w:val="clear" w:fill="FFFFFF"/>
        </w:rPr>
        <w:t>（一）实施高技能人才集群培养计划。教育部围绕国家战略和重点行业领域，在国家层面组织实施高技能人才集群培养计划（以下简称集群培养计划），打造一批高技能人才集群培养样板。各省级教育行政部门参照国家层面改革经验、案例和成果，围绕本地区重点产业、特色产业发展需求，组织实施省级高技能人才集群培养计划，将其作为深化教学关键要素改革的重要抓手，与“双高建设计划”、联合体和共同体建设捆绑推进。各职业学校特别是“双高建设计划”学校要结合重点专业群建设，联合合作企业、行业机构开展校级高技能人才集群培养计划，增强高水平专业群建设实效。</w:t>
      </w:r>
    </w:p>
    <w:p w14:paraId="19F5F942">
      <w:pPr>
        <w:pStyle w:val="5"/>
        <w:keepNext w:val="0"/>
        <w:keepLines w:val="0"/>
        <w:widowControl/>
        <w:suppressLineNumbers w:val="0"/>
        <w:pBdr>
          <w:top w:val="none" w:color="auto" w:sz="0" w:space="0"/>
          <w:left w:val="none" w:color="auto" w:sz="0" w:space="0"/>
          <w:bottom w:val="none" w:color="auto" w:sz="0" w:space="0"/>
          <w:right w:val="none" w:color="auto" w:sz="0" w:space="0"/>
        </w:pBdr>
        <w:spacing w:after="150" w:afterAutospacing="0" w:line="300" w:lineRule="atLeast"/>
        <w:ind w:left="0" w:right="0" w:firstLine="420"/>
      </w:pPr>
      <w:r>
        <w:rPr>
          <w:rFonts w:hint="eastAsia" w:ascii="宋体" w:hAnsi="宋体" w:eastAsia="宋体" w:cs="宋体"/>
          <w:i w:val="0"/>
          <w:iCs w:val="0"/>
          <w:caps w:val="0"/>
          <w:color w:val="333333"/>
          <w:spacing w:val="0"/>
          <w:sz w:val="24"/>
          <w:szCs w:val="24"/>
          <w:bdr w:val="none" w:color="auto" w:sz="0" w:space="0"/>
          <w:shd w:val="clear" w:fill="FFFFFF"/>
        </w:rPr>
        <w:t>（二）建立“三组长”牵头的组织机制。加强地方政府统筹力度，有组织、有目标选择牵头单位，组建由头部企业、高水平学校、行业组织负责人担任“三组长”，相关企业、学校、科研机构、行业协会等专家组成的改革团队。三组长对改革任务、标准、质量总设计、总把关、总负责，牵头制订、审定专业调整、课程改革、教材建设、教师能力细化、实习实训基地规划建设方案，推动价值、知识、能力三位统一。聘请大国工匠、两院院士、教育教学专家等，对改革工作进行专业论证、过程把关与成效评估。</w:t>
      </w:r>
    </w:p>
    <w:p w14:paraId="1A7241FA">
      <w:pPr>
        <w:pStyle w:val="5"/>
        <w:keepNext w:val="0"/>
        <w:keepLines w:val="0"/>
        <w:widowControl/>
        <w:suppressLineNumbers w:val="0"/>
        <w:pBdr>
          <w:top w:val="none" w:color="auto" w:sz="0" w:space="0"/>
          <w:left w:val="none" w:color="auto" w:sz="0" w:space="0"/>
          <w:bottom w:val="none" w:color="auto" w:sz="0" w:space="0"/>
          <w:right w:val="none" w:color="auto" w:sz="0" w:space="0"/>
        </w:pBdr>
        <w:spacing w:after="150" w:afterAutospacing="0" w:line="300" w:lineRule="atLeast"/>
        <w:ind w:left="0" w:right="0" w:firstLine="420"/>
      </w:pPr>
      <w:r>
        <w:rPr>
          <w:rFonts w:hint="eastAsia" w:ascii="宋体" w:hAnsi="宋体" w:eastAsia="宋体" w:cs="宋体"/>
          <w:i w:val="0"/>
          <w:iCs w:val="0"/>
          <w:caps w:val="0"/>
          <w:color w:val="333333"/>
          <w:spacing w:val="0"/>
          <w:sz w:val="24"/>
          <w:szCs w:val="24"/>
          <w:bdr w:val="none" w:color="auto" w:sz="0" w:space="0"/>
          <w:shd w:val="clear" w:fill="FFFFFF"/>
        </w:rPr>
        <w:t>（三）建立教学关键要素联动改革机制。遵循技能形成规律和教育教学规律，按照专业、课程、教材、教师、实习实训的内在逻辑关系，推进教学关键要素联动改革。发挥专业的基础作用，明确专业人才培养目标和规格、课程设置、师资和条件、教学组织实施等方面要求。发挥课程的核心作用，落实专业人才培养目标及各项素质、知识、技能要求。发挥教材的承上启下作用，准确、系统、有效反映课程内容，为教师能力提升、实习实训标准制订和组织实施提供主要依据。</w:t>
      </w:r>
    </w:p>
    <w:p w14:paraId="323DE5C1">
      <w:pPr>
        <w:pStyle w:val="5"/>
        <w:keepNext w:val="0"/>
        <w:keepLines w:val="0"/>
        <w:widowControl/>
        <w:suppressLineNumbers w:val="0"/>
        <w:pBdr>
          <w:top w:val="none" w:color="auto" w:sz="0" w:space="0"/>
          <w:left w:val="none" w:color="auto" w:sz="0" w:space="0"/>
          <w:bottom w:val="none" w:color="auto" w:sz="0" w:space="0"/>
          <w:right w:val="none" w:color="auto" w:sz="0" w:space="0"/>
        </w:pBdr>
        <w:spacing w:after="150" w:afterAutospacing="0" w:line="300" w:lineRule="atLeast"/>
        <w:ind w:left="0" w:right="0" w:firstLine="420"/>
      </w:pPr>
      <w:r>
        <w:rPr>
          <w:rFonts w:hint="eastAsia" w:ascii="宋体" w:hAnsi="宋体" w:eastAsia="宋体" w:cs="宋体"/>
          <w:i w:val="0"/>
          <w:iCs w:val="0"/>
          <w:caps w:val="0"/>
          <w:color w:val="333333"/>
          <w:spacing w:val="0"/>
          <w:sz w:val="24"/>
          <w:szCs w:val="24"/>
          <w:bdr w:val="none" w:color="auto" w:sz="0" w:space="0"/>
          <w:shd w:val="clear" w:fill="FFFFFF"/>
        </w:rPr>
        <w:t>（四）完善企业技术资源开放和转化机制。推动头部企业开放技术标准、开放生产资源、开放职业场景，完善企业优质资源脱密转化为教学资源的工作机制。依据行业标准、企业标准、产品标准和技术标准，研究制订专业教学标准、课程标准、实习实训标准和教师能力清单。及时将典型的工作场景、生产装备、工艺文件、施工方案、操作规范等转化为课程和教材内容，推动专业教学与技术发展同频同步。探索建立校企在职业教育人才培养、教学改革、资源建设等方面的成本共担、利益共享机制，形成互利共赢的稳定合作模式。</w:t>
      </w:r>
    </w:p>
    <w:p w14:paraId="3B7EC13C">
      <w:pPr>
        <w:pStyle w:val="5"/>
        <w:keepNext w:val="0"/>
        <w:keepLines w:val="0"/>
        <w:widowControl/>
        <w:suppressLineNumbers w:val="0"/>
        <w:pBdr>
          <w:top w:val="none" w:color="auto" w:sz="0" w:space="0"/>
          <w:left w:val="none" w:color="auto" w:sz="0" w:space="0"/>
          <w:bottom w:val="none" w:color="auto" w:sz="0" w:space="0"/>
          <w:right w:val="none" w:color="auto" w:sz="0" w:space="0"/>
        </w:pBdr>
        <w:spacing w:after="150" w:afterAutospacing="0" w:line="300" w:lineRule="atLeast"/>
        <w:ind w:left="0" w:right="0" w:firstLine="420"/>
      </w:pPr>
      <w:r>
        <w:rPr>
          <w:rStyle w:val="9"/>
          <w:rFonts w:hint="eastAsia" w:ascii="宋体" w:hAnsi="宋体" w:eastAsia="宋体" w:cs="宋体"/>
          <w:i w:val="0"/>
          <w:iCs w:val="0"/>
          <w:caps w:val="0"/>
          <w:color w:val="333333"/>
          <w:spacing w:val="0"/>
          <w:sz w:val="24"/>
          <w:szCs w:val="24"/>
          <w:bdr w:val="none" w:color="auto" w:sz="0" w:space="0"/>
          <w:shd w:val="clear" w:fill="FFFFFF"/>
        </w:rPr>
        <w:t>四、加强组织实施</w:t>
      </w:r>
    </w:p>
    <w:p w14:paraId="383908FA">
      <w:pPr>
        <w:pStyle w:val="5"/>
        <w:keepNext w:val="0"/>
        <w:keepLines w:val="0"/>
        <w:widowControl/>
        <w:suppressLineNumbers w:val="0"/>
        <w:pBdr>
          <w:top w:val="none" w:color="auto" w:sz="0" w:space="0"/>
          <w:left w:val="none" w:color="auto" w:sz="0" w:space="0"/>
          <w:bottom w:val="none" w:color="auto" w:sz="0" w:space="0"/>
          <w:right w:val="none" w:color="auto" w:sz="0" w:space="0"/>
        </w:pBdr>
        <w:spacing w:after="150" w:afterAutospacing="0" w:line="300" w:lineRule="atLeast"/>
        <w:ind w:left="0" w:right="0" w:firstLine="420"/>
      </w:pPr>
      <w:r>
        <w:rPr>
          <w:rFonts w:hint="eastAsia" w:ascii="宋体" w:hAnsi="宋体" w:eastAsia="宋体" w:cs="宋体"/>
          <w:i w:val="0"/>
          <w:iCs w:val="0"/>
          <w:caps w:val="0"/>
          <w:color w:val="333333"/>
          <w:spacing w:val="0"/>
          <w:sz w:val="24"/>
          <w:szCs w:val="24"/>
          <w:bdr w:val="none" w:color="auto" w:sz="0" w:space="0"/>
          <w:shd w:val="clear" w:fill="FFFFFF"/>
        </w:rPr>
        <w:t>各级教育行政部门、职业学校要切实提高政治站位，高度重视改革工作，加强组织领导，明确职责分工和落实措施，抓好本意见的贯彻落实。省级教育行政部门要制定具体实施方案，把工作重点和资源配置集中到教学关键要素改革上来，将改革成效作为学校考核、资金分配、项目遴选等的重要内容；推动行业企业深度参与办学能力评价和高技能人才培养质量评价，完善对专业、课程、教材、教师和实习实训的评价标准；推动将专业结构布局调整、实习实训基地建设、实训设备更新等改革任务纳入各级国民经济和社会发展计划、产业发展规划，积极争取“两重”等项目和资金支持。联合体、共同体要积极调动区域和行业资源，全面组织成员单位深入开展教学关键要素改革，做实联合体和共同体建设。各职业学校要将教学关键要素改革作为中心工作，全面融入学校建设发展。“双高建设计划”学校要充分发挥示范引领作用，着力打造“服务好、支撑好”的高水平专业群。各地各校要及时总结典型做法经验，加大宣传推广力度，形成全方位支持改革的浓厚氛围。</w:t>
      </w:r>
    </w:p>
    <w:p w14:paraId="25117A1E">
      <w:pPr>
        <w:pStyle w:val="5"/>
        <w:keepNext w:val="0"/>
        <w:keepLines w:val="0"/>
        <w:widowControl/>
        <w:suppressLineNumbers w:val="0"/>
        <w:pBdr>
          <w:top w:val="none" w:color="auto" w:sz="0" w:space="0"/>
          <w:left w:val="none" w:color="auto" w:sz="0" w:space="0"/>
          <w:bottom w:val="none" w:color="auto" w:sz="0" w:space="0"/>
          <w:right w:val="none" w:color="auto" w:sz="0" w:space="0"/>
        </w:pBdr>
        <w:spacing w:after="150" w:afterAutospacing="0" w:line="300" w:lineRule="atLeast"/>
        <w:ind w:left="0" w:right="0" w:firstLine="0"/>
        <w:jc w:val="right"/>
      </w:pPr>
      <w:r>
        <w:rPr>
          <w:rFonts w:hint="eastAsia" w:ascii="宋体" w:hAnsi="宋体" w:eastAsia="宋体" w:cs="宋体"/>
          <w:i w:val="0"/>
          <w:iCs w:val="0"/>
          <w:caps w:val="0"/>
          <w:color w:val="333333"/>
          <w:spacing w:val="0"/>
          <w:sz w:val="24"/>
          <w:szCs w:val="24"/>
          <w:bdr w:val="none" w:color="auto" w:sz="0" w:space="0"/>
          <w:shd w:val="clear" w:fill="FFFFFF"/>
        </w:rPr>
        <w:t>教育部</w:t>
      </w:r>
      <w:r>
        <w:rPr>
          <w:rFonts w:hint="eastAsia" w:ascii="宋体" w:hAnsi="宋体" w:eastAsia="宋体" w:cs="宋体"/>
          <w:i w:val="0"/>
          <w:iCs w:val="0"/>
          <w:caps w:val="0"/>
          <w:color w:val="333333"/>
          <w:spacing w:val="0"/>
          <w:sz w:val="24"/>
          <w:szCs w:val="24"/>
          <w:bdr w:val="none" w:color="auto" w:sz="0" w:space="0"/>
          <w:shd w:val="clear" w:fill="FFFFFF"/>
        </w:rPr>
        <w:br w:type="textWrapping"/>
      </w:r>
      <w:r>
        <w:rPr>
          <w:rFonts w:hint="eastAsia" w:ascii="宋体" w:hAnsi="宋体" w:eastAsia="宋体" w:cs="宋体"/>
          <w:i w:val="0"/>
          <w:iCs w:val="0"/>
          <w:caps w:val="0"/>
          <w:color w:val="333333"/>
          <w:spacing w:val="0"/>
          <w:sz w:val="24"/>
          <w:szCs w:val="24"/>
          <w:bdr w:val="none" w:color="auto" w:sz="0" w:space="0"/>
          <w:shd w:val="clear" w:fill="FFFFFF"/>
        </w:rPr>
        <w:t>2026年2月4日</w:t>
      </w:r>
    </w:p>
    <w:p w14:paraId="435E70F3"/>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317572"/>
    <w:rsid w:val="035C5B13"/>
    <w:rsid w:val="04317572"/>
    <w:rsid w:val="20732BD1"/>
    <w:rsid w:val="372C6EF9"/>
    <w:rsid w:val="3E3858F4"/>
    <w:rsid w:val="68015599"/>
    <w:rsid w:val="6CB05D30"/>
    <w:rsid w:val="6E874588"/>
    <w:rsid w:val="7002390F"/>
    <w:rsid w:val="7BD55D07"/>
    <w:rsid w:val="7ED83A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after="100" w:afterLines="100" w:line="360" w:lineRule="auto"/>
      <w:jc w:val="both"/>
      <w:textAlignment w:val="baseline"/>
    </w:pPr>
    <w:rPr>
      <w:rFonts w:ascii="Arial" w:hAnsi="Arial" w:eastAsia="微软雅黑" w:cs="Arial"/>
      <w:snapToGrid w:val="0"/>
      <w:color w:val="000000"/>
      <w:kern w:val="0"/>
      <w:sz w:val="24"/>
      <w:szCs w:val="21"/>
      <w:lang w:val="en-US" w:eastAsia="en-US"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30"/>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0"/>
    <w:pPr>
      <w:spacing w:after="120" w:afterLines="0" w:afterAutospacing="0"/>
      <w:ind w:left="420" w:leftChars="200"/>
    </w:p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paragraph" w:styleId="6">
    <w:name w:val="Body Text First Indent 2"/>
    <w:basedOn w:val="3"/>
    <w:qFormat/>
    <w:uiPriority w:val="0"/>
    <w:pPr>
      <w:ind w:firstLine="420" w:firstLineChars="200"/>
    </w:p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31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2026-10-14T03:12:00Z</dcterms:created>
  <dc:creator>衎can</dc:creator>
  <cp:lastModifiedBy>衎can</cp:lastModifiedBy>
  <dcterms:modified xsi:type="dcterms:W3CDTF">2026-10-14T03:12:56Z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ADEA9E70155741428CAFA32E1FE7A13E_11</vt:lpwstr>
  </property>
  <property fmtid="{D5CDD505-2E9C-101B-9397-08002B2CF9AE}" pid="4" name="KSOTemplateDocerSaveRecord">
    <vt:lpwstr>eyJoZGlkIjoiZGM5N2U5MTc2ZDg0ZGE0OGY1YzA5YzcwZjgxNmQ4NzEiLCJ1c2VySWQiOiI0MDE0NTI5ODAifQ==</vt:lpwstr>
  </property>
</Properties>
</file>